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90C97" w14:textId="77777777" w:rsidR="000C7FC5" w:rsidRDefault="000C7FC5" w:rsidP="000C7FC5">
      <w:pPr>
        <w:jc w:val="center"/>
        <w:rPr>
          <w:rFonts w:ascii="Arial" w:eastAsia="Calibri" w:hAnsi="Arial" w:cs="Arial"/>
          <w:b/>
          <w:bCs/>
          <w:lang w:val="es-ES"/>
        </w:rPr>
      </w:pPr>
    </w:p>
    <w:tbl>
      <w:tblPr>
        <w:tblStyle w:val="TableGrid"/>
        <w:tblW w:w="10207" w:type="dxa"/>
        <w:tblInd w:w="-34" w:type="dxa"/>
        <w:tblLook w:val="04A0" w:firstRow="1" w:lastRow="0" w:firstColumn="1" w:lastColumn="0" w:noHBand="0" w:noVBand="1"/>
      </w:tblPr>
      <w:tblGrid>
        <w:gridCol w:w="2723"/>
        <w:gridCol w:w="1984"/>
        <w:gridCol w:w="3090"/>
        <w:gridCol w:w="2410"/>
      </w:tblGrid>
      <w:tr w:rsidR="000C7FC5" w:rsidRPr="001020FC" w14:paraId="7B3AC5B3" w14:textId="77777777" w:rsidTr="000C7FC5">
        <w:tc>
          <w:tcPr>
            <w:tcW w:w="2723" w:type="dxa"/>
            <w:shd w:val="clear" w:color="auto" w:fill="0070C0"/>
            <w:vAlign w:val="center"/>
          </w:tcPr>
          <w:p w14:paraId="4214F3FE" w14:textId="77777777" w:rsidR="000C7FC5" w:rsidRPr="001020FC" w:rsidRDefault="000C7FC5" w:rsidP="006A7843">
            <w:pPr>
              <w:jc w:val="center"/>
              <w:rPr>
                <w:rFonts w:ascii="Arial" w:eastAsia="Calibri" w:hAnsi="Arial" w:cs="Arial"/>
                <w:b/>
                <w:bCs/>
                <w:color w:val="FFFFFF"/>
                <w:lang w:val="es-ES"/>
              </w:rPr>
            </w:pPr>
            <w:r w:rsidRPr="001020FC">
              <w:rPr>
                <w:rFonts w:ascii="Arial" w:eastAsia="Calibri" w:hAnsi="Arial" w:cs="Arial"/>
                <w:b/>
                <w:bCs/>
                <w:color w:val="FFFFFF"/>
                <w:lang w:val="es-ES"/>
              </w:rPr>
              <w:t>Dominio (s)</w:t>
            </w:r>
          </w:p>
        </w:tc>
        <w:tc>
          <w:tcPr>
            <w:tcW w:w="1984" w:type="dxa"/>
            <w:shd w:val="clear" w:color="auto" w:fill="0070C0"/>
            <w:vAlign w:val="center"/>
          </w:tcPr>
          <w:p w14:paraId="38E129EC" w14:textId="77777777" w:rsidR="000C7FC5" w:rsidRPr="001020FC" w:rsidRDefault="000C7FC5" w:rsidP="006A7843">
            <w:pPr>
              <w:jc w:val="center"/>
              <w:rPr>
                <w:rFonts w:ascii="Arial" w:eastAsia="Calibri" w:hAnsi="Arial" w:cs="Arial"/>
                <w:b/>
                <w:bCs/>
                <w:color w:val="FFFFFF"/>
                <w:lang w:val="es-ES"/>
              </w:rPr>
            </w:pPr>
            <w:r w:rsidRPr="001020FC">
              <w:rPr>
                <w:rFonts w:ascii="Arial" w:eastAsia="Calibri" w:hAnsi="Arial" w:cs="Arial"/>
                <w:b/>
                <w:bCs/>
                <w:color w:val="FFFFFF"/>
                <w:lang w:val="es-ES"/>
              </w:rPr>
              <w:t>Principio(s)</w:t>
            </w:r>
          </w:p>
        </w:tc>
        <w:tc>
          <w:tcPr>
            <w:tcW w:w="3090" w:type="dxa"/>
            <w:shd w:val="clear" w:color="auto" w:fill="0070C0"/>
            <w:vAlign w:val="center"/>
          </w:tcPr>
          <w:p w14:paraId="311203A0" w14:textId="77777777" w:rsidR="000C7FC5" w:rsidRPr="001020FC" w:rsidRDefault="000C7FC5" w:rsidP="006A7843">
            <w:pPr>
              <w:jc w:val="center"/>
              <w:rPr>
                <w:rFonts w:ascii="Arial" w:eastAsia="Calibri" w:hAnsi="Arial" w:cs="Arial"/>
                <w:b/>
                <w:bCs/>
                <w:color w:val="FFFFFF"/>
                <w:lang w:val="es-ES"/>
              </w:rPr>
            </w:pPr>
            <w:r w:rsidRPr="001020FC">
              <w:rPr>
                <w:rFonts w:ascii="Arial" w:eastAsia="Calibri" w:hAnsi="Arial" w:cs="Arial"/>
                <w:b/>
                <w:bCs/>
                <w:color w:val="FFFFFF"/>
                <w:lang w:val="es-ES"/>
              </w:rPr>
              <w:t>Norma(s)</w:t>
            </w:r>
          </w:p>
        </w:tc>
        <w:tc>
          <w:tcPr>
            <w:tcW w:w="2410" w:type="dxa"/>
            <w:shd w:val="clear" w:color="auto" w:fill="0070C0"/>
          </w:tcPr>
          <w:p w14:paraId="1B21D024" w14:textId="77777777" w:rsidR="000C7FC5" w:rsidRPr="001020FC" w:rsidRDefault="000C7FC5" w:rsidP="006A7843">
            <w:pPr>
              <w:jc w:val="center"/>
              <w:rPr>
                <w:rFonts w:ascii="Arial" w:eastAsia="Calibri" w:hAnsi="Arial" w:cs="Arial"/>
                <w:b/>
                <w:bCs/>
                <w:color w:val="FFFFFF"/>
                <w:lang w:val="es-ES"/>
              </w:rPr>
            </w:pPr>
            <w:r w:rsidRPr="001020FC">
              <w:rPr>
                <w:rFonts w:ascii="Arial" w:eastAsia="Calibri" w:hAnsi="Arial" w:cs="Arial"/>
                <w:b/>
                <w:bCs/>
                <w:color w:val="FFFFFF"/>
                <w:lang w:val="es-ES"/>
              </w:rPr>
              <w:t xml:space="preserve">Documentos CAIGG relacionados </w:t>
            </w:r>
          </w:p>
        </w:tc>
      </w:tr>
      <w:tr w:rsidR="000C7FC5" w:rsidRPr="001020FC" w14:paraId="5A8D1744" w14:textId="77777777" w:rsidTr="001822F8">
        <w:tc>
          <w:tcPr>
            <w:tcW w:w="2723" w:type="dxa"/>
            <w:vMerge w:val="restart"/>
          </w:tcPr>
          <w:p w14:paraId="18BF4EF4" w14:textId="77777777" w:rsidR="000C7FC5" w:rsidRPr="001020FC" w:rsidRDefault="000C7FC5" w:rsidP="006A7843">
            <w:pPr>
              <w:jc w:val="both"/>
              <w:rPr>
                <w:rFonts w:ascii="Arial" w:eastAsia="Calibri" w:hAnsi="Arial" w:cs="Arial"/>
                <w:bCs/>
                <w:lang w:val="es-ES"/>
              </w:rPr>
            </w:pPr>
          </w:p>
          <w:p w14:paraId="7E44A1E8" w14:textId="77777777" w:rsidR="000C7FC5" w:rsidRPr="001020FC" w:rsidRDefault="000C7FC5" w:rsidP="006A7843">
            <w:pPr>
              <w:jc w:val="both"/>
              <w:rPr>
                <w:rFonts w:ascii="Arial" w:eastAsia="Calibri" w:hAnsi="Arial" w:cs="Arial"/>
                <w:bCs/>
                <w:lang w:val="es-ES"/>
              </w:rPr>
            </w:pPr>
          </w:p>
          <w:p w14:paraId="2A04351F" w14:textId="77777777" w:rsidR="000C7FC5" w:rsidRPr="001020FC" w:rsidRDefault="000C7FC5" w:rsidP="006A7843">
            <w:pPr>
              <w:jc w:val="both"/>
              <w:rPr>
                <w:rFonts w:ascii="Arial" w:eastAsia="Calibri" w:hAnsi="Arial" w:cs="Arial"/>
                <w:bCs/>
                <w:lang w:val="es-ES"/>
              </w:rPr>
            </w:pPr>
            <w:r w:rsidRPr="001020FC">
              <w:rPr>
                <w:rFonts w:ascii="Arial" w:eastAsia="Calibri" w:hAnsi="Arial" w:cs="Arial"/>
                <w:bCs/>
                <w:lang w:val="es-ES"/>
              </w:rPr>
              <w:t>Dominio II: Ética y profesionalidad</w:t>
            </w:r>
          </w:p>
        </w:tc>
        <w:tc>
          <w:tcPr>
            <w:tcW w:w="1984" w:type="dxa"/>
            <w:vMerge w:val="restart"/>
          </w:tcPr>
          <w:p w14:paraId="7E76B934" w14:textId="77777777" w:rsidR="000C7FC5" w:rsidRPr="001020FC" w:rsidRDefault="000C7FC5" w:rsidP="006A7843">
            <w:pPr>
              <w:jc w:val="center"/>
              <w:rPr>
                <w:rFonts w:ascii="Arial" w:eastAsia="Calibri" w:hAnsi="Arial" w:cs="Arial"/>
                <w:bCs/>
                <w:lang w:val="es-ES"/>
              </w:rPr>
            </w:pPr>
          </w:p>
          <w:p w14:paraId="2BAC0304" w14:textId="77777777" w:rsidR="000C7FC5" w:rsidRPr="001020FC" w:rsidRDefault="000C7FC5" w:rsidP="006A7843">
            <w:pPr>
              <w:jc w:val="center"/>
              <w:rPr>
                <w:rFonts w:ascii="Arial" w:eastAsia="Calibri" w:hAnsi="Arial" w:cs="Arial"/>
                <w:bCs/>
                <w:lang w:val="es-ES"/>
              </w:rPr>
            </w:pPr>
            <w:r w:rsidRPr="004767E3">
              <w:rPr>
                <w:rFonts w:ascii="Arial" w:eastAsia="Calibri" w:hAnsi="Arial" w:cs="Arial"/>
                <w:bCs/>
                <w:lang w:val="es-ES"/>
              </w:rPr>
              <w:t>Principio 5 Mantener la confidencialidad</w:t>
            </w:r>
          </w:p>
        </w:tc>
        <w:tc>
          <w:tcPr>
            <w:tcW w:w="3090" w:type="dxa"/>
            <w:vAlign w:val="center"/>
          </w:tcPr>
          <w:p w14:paraId="00FC8580" w14:textId="77777777" w:rsidR="000C7FC5" w:rsidRDefault="000C7FC5" w:rsidP="001822F8">
            <w:pPr>
              <w:jc w:val="center"/>
              <w:rPr>
                <w:rFonts w:ascii="Arial" w:hAnsi="Arial" w:cs="Arial"/>
              </w:rPr>
            </w:pPr>
          </w:p>
          <w:p w14:paraId="729A3931" w14:textId="72D87881" w:rsidR="000C7FC5" w:rsidRDefault="000C7FC5" w:rsidP="001822F8">
            <w:pPr>
              <w:jc w:val="center"/>
              <w:rPr>
                <w:rFonts w:ascii="Arial" w:hAnsi="Arial" w:cs="Arial"/>
              </w:rPr>
            </w:pPr>
            <w:r w:rsidRPr="003749E9">
              <w:rPr>
                <w:rFonts w:ascii="Arial" w:hAnsi="Arial" w:cs="Arial"/>
              </w:rPr>
              <w:t>5.1 Uso de información</w:t>
            </w:r>
          </w:p>
          <w:p w14:paraId="219107C3" w14:textId="77777777" w:rsidR="000C7FC5" w:rsidRPr="001020FC" w:rsidRDefault="000C7FC5" w:rsidP="001822F8">
            <w:pPr>
              <w:jc w:val="center"/>
              <w:rPr>
                <w:rFonts w:ascii="Arial" w:eastAsia="Calibri" w:hAnsi="Arial" w:cs="Arial"/>
                <w:bCs/>
                <w:lang w:val="es-ES"/>
              </w:rPr>
            </w:pPr>
          </w:p>
        </w:tc>
        <w:tc>
          <w:tcPr>
            <w:tcW w:w="2410" w:type="dxa"/>
            <w:vAlign w:val="center"/>
          </w:tcPr>
          <w:p w14:paraId="53E385B3" w14:textId="77777777" w:rsidR="000C7FC5" w:rsidRPr="001020FC" w:rsidRDefault="000C7FC5" w:rsidP="00912967">
            <w:pPr>
              <w:jc w:val="center"/>
              <w:rPr>
                <w:rFonts w:ascii="Arial" w:eastAsia="Calibri" w:hAnsi="Arial" w:cs="Arial"/>
                <w:bCs/>
                <w:lang w:val="es-ES"/>
              </w:rPr>
            </w:pPr>
            <w:r w:rsidRPr="001020FC">
              <w:rPr>
                <w:rFonts w:ascii="Arial" w:eastAsia="Calibri" w:hAnsi="Arial" w:cs="Arial"/>
                <w:bCs/>
                <w:lang w:val="es-ES"/>
              </w:rPr>
              <w:t>……</w:t>
            </w:r>
          </w:p>
        </w:tc>
      </w:tr>
      <w:tr w:rsidR="000C7FC5" w:rsidRPr="001020FC" w14:paraId="06A09CD1" w14:textId="77777777" w:rsidTr="001822F8">
        <w:trPr>
          <w:trHeight w:val="660"/>
        </w:trPr>
        <w:tc>
          <w:tcPr>
            <w:tcW w:w="2723" w:type="dxa"/>
            <w:vMerge/>
          </w:tcPr>
          <w:p w14:paraId="71C2737A" w14:textId="77777777" w:rsidR="000C7FC5" w:rsidRPr="001020FC" w:rsidRDefault="000C7FC5" w:rsidP="006A7843">
            <w:pPr>
              <w:jc w:val="both"/>
              <w:rPr>
                <w:rFonts w:ascii="Arial" w:eastAsia="Calibri" w:hAnsi="Arial" w:cs="Arial"/>
                <w:bCs/>
                <w:lang w:val="es-ES"/>
              </w:rPr>
            </w:pPr>
          </w:p>
        </w:tc>
        <w:tc>
          <w:tcPr>
            <w:tcW w:w="1984" w:type="dxa"/>
            <w:vMerge/>
          </w:tcPr>
          <w:p w14:paraId="4BD4FF1D" w14:textId="77777777" w:rsidR="000C7FC5" w:rsidRPr="001020FC" w:rsidRDefault="000C7FC5" w:rsidP="006A7843">
            <w:pPr>
              <w:jc w:val="center"/>
              <w:rPr>
                <w:rFonts w:ascii="Arial" w:eastAsia="Calibri" w:hAnsi="Arial" w:cs="Arial"/>
                <w:bCs/>
                <w:lang w:val="es-ES"/>
              </w:rPr>
            </w:pPr>
          </w:p>
        </w:tc>
        <w:tc>
          <w:tcPr>
            <w:tcW w:w="3090" w:type="dxa"/>
            <w:vAlign w:val="center"/>
          </w:tcPr>
          <w:p w14:paraId="454BD5AD" w14:textId="77777777" w:rsidR="000C7FC5" w:rsidRPr="001020FC" w:rsidRDefault="000C7FC5" w:rsidP="001822F8">
            <w:pPr>
              <w:jc w:val="center"/>
              <w:rPr>
                <w:rFonts w:ascii="Arial" w:eastAsia="Calibri" w:hAnsi="Arial" w:cs="Arial"/>
                <w:bCs/>
                <w:lang w:val="es-ES"/>
              </w:rPr>
            </w:pPr>
            <w:r w:rsidRPr="003749E9">
              <w:rPr>
                <w:rFonts w:ascii="Arial" w:hAnsi="Arial" w:cs="Arial"/>
              </w:rPr>
              <w:t>5.2 Protección de la información</w:t>
            </w:r>
          </w:p>
        </w:tc>
        <w:tc>
          <w:tcPr>
            <w:tcW w:w="2410" w:type="dxa"/>
            <w:vAlign w:val="center"/>
          </w:tcPr>
          <w:p w14:paraId="09511508" w14:textId="03774069" w:rsidR="000C7FC5" w:rsidRPr="001020FC" w:rsidRDefault="00912967" w:rsidP="00912967">
            <w:pPr>
              <w:jc w:val="center"/>
              <w:rPr>
                <w:rFonts w:ascii="Arial" w:eastAsia="Calibri" w:hAnsi="Arial" w:cs="Arial"/>
                <w:bCs/>
                <w:lang w:val="es-ES"/>
              </w:rPr>
            </w:pPr>
            <w:r w:rsidRPr="001020FC">
              <w:rPr>
                <w:rFonts w:ascii="Arial" w:eastAsia="Calibri" w:hAnsi="Arial" w:cs="Arial"/>
                <w:bCs/>
                <w:lang w:val="es-ES"/>
              </w:rPr>
              <w:t>……</w:t>
            </w:r>
          </w:p>
        </w:tc>
      </w:tr>
      <w:tr w:rsidR="00912967" w:rsidRPr="001020FC" w14:paraId="63826B28" w14:textId="77777777" w:rsidTr="001822F8">
        <w:trPr>
          <w:trHeight w:val="660"/>
        </w:trPr>
        <w:tc>
          <w:tcPr>
            <w:tcW w:w="2723" w:type="dxa"/>
            <w:vAlign w:val="center"/>
          </w:tcPr>
          <w:p w14:paraId="24EF0132" w14:textId="77777777" w:rsidR="00912967" w:rsidRPr="00104E6D" w:rsidRDefault="00912967" w:rsidP="00912967">
            <w:pPr>
              <w:jc w:val="center"/>
              <w:rPr>
                <w:rFonts w:ascii="Arial" w:eastAsia="Calibri" w:hAnsi="Arial" w:cs="Arial"/>
                <w:lang w:val="es-ES"/>
              </w:rPr>
            </w:pPr>
            <w:r w:rsidRPr="00104E6D">
              <w:rPr>
                <w:rFonts w:ascii="Arial" w:eastAsia="Calibri" w:hAnsi="Arial" w:cs="Arial"/>
                <w:lang w:val="es-ES"/>
              </w:rPr>
              <w:t>Dominio IV:</w:t>
            </w:r>
          </w:p>
          <w:p w14:paraId="000D9324" w14:textId="77777777" w:rsidR="00912967" w:rsidRPr="00104E6D" w:rsidRDefault="00912967" w:rsidP="00912967">
            <w:pPr>
              <w:jc w:val="center"/>
              <w:rPr>
                <w:rFonts w:ascii="Arial" w:eastAsia="Calibri" w:hAnsi="Arial" w:cs="Arial"/>
                <w:lang w:val="es-ES"/>
              </w:rPr>
            </w:pPr>
            <w:r w:rsidRPr="00104E6D">
              <w:rPr>
                <w:rFonts w:ascii="Arial" w:eastAsia="Calibri" w:hAnsi="Arial" w:cs="Arial"/>
                <w:lang w:val="es-ES"/>
              </w:rPr>
              <w:t>Gestión de la Función</w:t>
            </w:r>
          </w:p>
          <w:p w14:paraId="23D2737E" w14:textId="77777777" w:rsidR="00912967" w:rsidRDefault="00912967" w:rsidP="00912967">
            <w:pPr>
              <w:jc w:val="both"/>
              <w:rPr>
                <w:rFonts w:ascii="Arial" w:eastAsia="Calibri" w:hAnsi="Arial" w:cs="Arial"/>
                <w:lang w:val="es-ES"/>
              </w:rPr>
            </w:pPr>
            <w:r w:rsidRPr="00104E6D">
              <w:rPr>
                <w:rFonts w:ascii="Arial" w:eastAsia="Calibri" w:hAnsi="Arial" w:cs="Arial"/>
                <w:lang w:val="es-ES"/>
              </w:rPr>
              <w:t>de Auditoría Interna</w:t>
            </w:r>
          </w:p>
          <w:p w14:paraId="315E1FAA" w14:textId="77777777" w:rsidR="00912967" w:rsidRPr="001020FC" w:rsidRDefault="00912967" w:rsidP="00912967">
            <w:pPr>
              <w:jc w:val="both"/>
              <w:rPr>
                <w:rFonts w:ascii="Arial" w:eastAsia="Calibri" w:hAnsi="Arial" w:cs="Arial"/>
                <w:bCs/>
                <w:lang w:val="es-ES"/>
              </w:rPr>
            </w:pPr>
          </w:p>
        </w:tc>
        <w:tc>
          <w:tcPr>
            <w:tcW w:w="1984" w:type="dxa"/>
            <w:vAlign w:val="center"/>
          </w:tcPr>
          <w:p w14:paraId="02F19088" w14:textId="5BA57114" w:rsidR="00912967" w:rsidRPr="001020FC" w:rsidRDefault="00912967" w:rsidP="00912967">
            <w:pPr>
              <w:jc w:val="center"/>
              <w:rPr>
                <w:rFonts w:ascii="Arial" w:eastAsia="Calibri" w:hAnsi="Arial" w:cs="Arial"/>
                <w:bCs/>
                <w:lang w:val="es-ES"/>
              </w:rPr>
            </w:pPr>
            <w:r w:rsidRPr="00487937">
              <w:rPr>
                <w:rFonts w:ascii="Arial" w:eastAsia="Calibri" w:hAnsi="Arial" w:cs="Arial"/>
                <w:lang w:val="es-ES"/>
              </w:rPr>
              <w:t>Principio 9 Planificar estratégicamente</w:t>
            </w:r>
          </w:p>
        </w:tc>
        <w:tc>
          <w:tcPr>
            <w:tcW w:w="3090" w:type="dxa"/>
            <w:vAlign w:val="center"/>
          </w:tcPr>
          <w:p w14:paraId="084267BC" w14:textId="74EFFE9A" w:rsidR="00912967" w:rsidRPr="003749E9" w:rsidRDefault="00912967" w:rsidP="001822F8">
            <w:pPr>
              <w:jc w:val="center"/>
              <w:rPr>
                <w:rFonts w:ascii="Arial" w:hAnsi="Arial" w:cs="Arial"/>
              </w:rPr>
            </w:pPr>
            <w:r w:rsidRPr="007F3556">
              <w:rPr>
                <w:rFonts w:ascii="Arial" w:eastAsia="Calibri" w:hAnsi="Arial" w:cs="Arial"/>
                <w:lang w:val="es-ES"/>
              </w:rPr>
              <w:t>Norma 9.3 Metodologías</w:t>
            </w:r>
          </w:p>
        </w:tc>
        <w:tc>
          <w:tcPr>
            <w:tcW w:w="2410" w:type="dxa"/>
            <w:vAlign w:val="center"/>
          </w:tcPr>
          <w:p w14:paraId="76923EDC" w14:textId="36076131" w:rsidR="00912967" w:rsidRPr="001020FC" w:rsidRDefault="00912967" w:rsidP="00912967">
            <w:pPr>
              <w:jc w:val="center"/>
              <w:rPr>
                <w:rFonts w:ascii="Arial" w:eastAsia="Calibri" w:hAnsi="Arial" w:cs="Arial"/>
                <w:bCs/>
                <w:lang w:val="es-ES"/>
              </w:rPr>
            </w:pPr>
            <w:r>
              <w:rPr>
                <w:rFonts w:ascii="Arial" w:eastAsia="Calibri" w:hAnsi="Arial" w:cs="Arial"/>
                <w:bCs/>
                <w:lang w:val="es-ES"/>
              </w:rPr>
              <w:t>……</w:t>
            </w:r>
          </w:p>
        </w:tc>
      </w:tr>
    </w:tbl>
    <w:p w14:paraId="5AACA749" w14:textId="77777777" w:rsidR="000C7FC5" w:rsidRPr="001020FC" w:rsidRDefault="000C7FC5" w:rsidP="000C7FC5">
      <w:pPr>
        <w:jc w:val="center"/>
        <w:rPr>
          <w:rFonts w:ascii="Arial" w:eastAsia="Calibri" w:hAnsi="Arial" w:cs="Arial"/>
          <w:b/>
          <w:bCs/>
          <w:lang w:val="es-ES"/>
        </w:rPr>
      </w:pPr>
    </w:p>
    <w:p w14:paraId="22A7978A" w14:textId="108E520F" w:rsidR="00550434" w:rsidRPr="00474866" w:rsidRDefault="00550434" w:rsidP="00550434">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314" w:type="dxa"/>
        <w:tblLook w:val="04A0" w:firstRow="1" w:lastRow="0" w:firstColumn="1" w:lastColumn="0" w:noHBand="0" w:noVBand="1"/>
      </w:tblPr>
      <w:tblGrid>
        <w:gridCol w:w="8897"/>
        <w:gridCol w:w="1417"/>
      </w:tblGrid>
      <w:tr w:rsidR="00550434" w:rsidRPr="00474866" w14:paraId="79DBF6CF" w14:textId="77777777" w:rsidTr="00CE771C">
        <w:trPr>
          <w:trHeight w:val="208"/>
        </w:trPr>
        <w:tc>
          <w:tcPr>
            <w:tcW w:w="8897" w:type="dxa"/>
            <w:shd w:val="clear" w:color="auto" w:fill="0070C0"/>
            <w:vAlign w:val="center"/>
          </w:tcPr>
          <w:p w14:paraId="126D5DE1"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417" w:type="dxa"/>
            <w:shd w:val="clear" w:color="auto" w:fill="0070C0"/>
            <w:vAlign w:val="center"/>
          </w:tcPr>
          <w:p w14:paraId="08B744ED" w14:textId="77777777" w:rsidR="00550434" w:rsidRPr="00474866" w:rsidRDefault="00550434"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550434" w:rsidRPr="00474866" w14:paraId="0463ABE4" w14:textId="77777777" w:rsidTr="00550434">
        <w:tc>
          <w:tcPr>
            <w:tcW w:w="8897" w:type="dxa"/>
          </w:tcPr>
          <w:p w14:paraId="069864A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F5B15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673C10C4" w14:textId="77777777" w:rsidTr="00550434">
        <w:tc>
          <w:tcPr>
            <w:tcW w:w="8897" w:type="dxa"/>
          </w:tcPr>
          <w:p w14:paraId="7EC5F8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0BCA3410"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4DBA72C4" w14:textId="77777777" w:rsidTr="00550434">
        <w:tc>
          <w:tcPr>
            <w:tcW w:w="8897" w:type="dxa"/>
          </w:tcPr>
          <w:p w14:paraId="065C2FEF"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9A7998D"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0F000CA2" w14:textId="77777777" w:rsidTr="00550434">
        <w:tc>
          <w:tcPr>
            <w:tcW w:w="8897" w:type="dxa"/>
          </w:tcPr>
          <w:p w14:paraId="04D19A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780FBE2F" w14:textId="77777777" w:rsidR="00550434" w:rsidRPr="00474866" w:rsidRDefault="00550434" w:rsidP="00AA6980">
            <w:pPr>
              <w:tabs>
                <w:tab w:val="left" w:pos="630"/>
              </w:tabs>
              <w:spacing w:line="360" w:lineRule="auto"/>
              <w:jc w:val="center"/>
              <w:rPr>
                <w:rFonts w:ascii="Arial" w:eastAsia="Calibri" w:hAnsi="Arial" w:cs="Arial"/>
                <w:lang w:val="es-ES"/>
              </w:rPr>
            </w:pPr>
          </w:p>
        </w:tc>
      </w:tr>
      <w:tr w:rsidR="00550434" w:rsidRPr="00474866" w14:paraId="61FD074E" w14:textId="77777777" w:rsidTr="00550434">
        <w:tc>
          <w:tcPr>
            <w:tcW w:w="8897" w:type="dxa"/>
          </w:tcPr>
          <w:p w14:paraId="0FF16A90"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B91C34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38212183" w14:textId="77777777" w:rsidTr="00550434">
        <w:tc>
          <w:tcPr>
            <w:tcW w:w="8897" w:type="dxa"/>
          </w:tcPr>
          <w:p w14:paraId="430E21FD"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03ABAE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6D74CAA" w14:textId="77777777" w:rsidTr="00550434">
        <w:tc>
          <w:tcPr>
            <w:tcW w:w="8897" w:type="dxa"/>
          </w:tcPr>
          <w:p w14:paraId="6A0F6026"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6AE88F8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FBFD6E9" w14:textId="77777777" w:rsidTr="00550434">
        <w:tc>
          <w:tcPr>
            <w:tcW w:w="8897" w:type="dxa"/>
          </w:tcPr>
          <w:p w14:paraId="3CA50421"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219C2E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59177554" w14:textId="77777777" w:rsidTr="00550434">
        <w:tc>
          <w:tcPr>
            <w:tcW w:w="8897" w:type="dxa"/>
          </w:tcPr>
          <w:p w14:paraId="7DA4B309"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2754CFE"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78A54D2" w14:textId="77777777" w:rsidTr="00550434">
        <w:tc>
          <w:tcPr>
            <w:tcW w:w="8897" w:type="dxa"/>
          </w:tcPr>
          <w:p w14:paraId="73FCF52C"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4A569B22" w14:textId="77777777" w:rsidR="00550434" w:rsidRPr="00474866" w:rsidRDefault="00550434" w:rsidP="00AA6980">
            <w:pPr>
              <w:spacing w:line="360" w:lineRule="auto"/>
              <w:jc w:val="center"/>
              <w:rPr>
                <w:rFonts w:ascii="Arial" w:eastAsia="Calibri" w:hAnsi="Arial" w:cs="Arial"/>
                <w:lang w:val="es-ES"/>
              </w:rPr>
            </w:pPr>
          </w:p>
        </w:tc>
      </w:tr>
    </w:tbl>
    <w:p w14:paraId="10E4E498" w14:textId="77777777" w:rsidR="00550434" w:rsidRPr="00474866" w:rsidRDefault="00550434" w:rsidP="00550434">
      <w:pPr>
        <w:jc w:val="both"/>
        <w:rPr>
          <w:rFonts w:ascii="Arial" w:eastAsia="Calibri" w:hAnsi="Arial" w:cs="Arial"/>
          <w:b/>
          <w:bCs/>
          <w:lang w:val="es-ES"/>
        </w:rPr>
      </w:pPr>
    </w:p>
    <w:p w14:paraId="382248B3" w14:textId="77777777" w:rsidR="00550434" w:rsidRPr="00474866" w:rsidRDefault="00550434" w:rsidP="00550434">
      <w:pPr>
        <w:jc w:val="both"/>
        <w:rPr>
          <w:rFonts w:ascii="Arial" w:eastAsia="Calibri" w:hAnsi="Arial" w:cs="Arial"/>
          <w:b/>
          <w:bCs/>
          <w:lang w:val="es-ES"/>
        </w:rPr>
      </w:pPr>
    </w:p>
    <w:tbl>
      <w:tblPr>
        <w:tblStyle w:val="TableGrid"/>
        <w:tblW w:w="4992" w:type="pct"/>
        <w:tblLook w:val="04A0" w:firstRow="1" w:lastRow="0" w:firstColumn="1" w:lastColumn="0" w:noHBand="0" w:noVBand="1"/>
      </w:tblPr>
      <w:tblGrid>
        <w:gridCol w:w="1910"/>
        <w:gridCol w:w="3687"/>
        <w:gridCol w:w="1866"/>
        <w:gridCol w:w="2802"/>
      </w:tblGrid>
      <w:tr w:rsidR="00550434" w:rsidRPr="00474866" w14:paraId="15F09F48" w14:textId="77777777" w:rsidTr="00CE771C">
        <w:trPr>
          <w:trHeight w:val="70"/>
        </w:trPr>
        <w:tc>
          <w:tcPr>
            <w:tcW w:w="9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64BDEAF"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7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AAA96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0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930C4DA"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65" w:type="pct"/>
            <w:tcBorders>
              <w:top w:val="single" w:sz="4" w:space="0" w:color="auto"/>
              <w:left w:val="single" w:sz="4" w:space="0" w:color="auto"/>
              <w:bottom w:val="single" w:sz="4" w:space="0" w:color="auto"/>
              <w:right w:val="single" w:sz="4" w:space="0" w:color="auto"/>
            </w:tcBorders>
            <w:shd w:val="clear" w:color="auto" w:fill="0070C0"/>
          </w:tcPr>
          <w:p w14:paraId="0EFCDE8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550434" w:rsidRPr="00474866" w14:paraId="2B0F974D" w14:textId="77777777" w:rsidTr="00AA6980">
        <w:trPr>
          <w:trHeight w:val="420"/>
        </w:trPr>
        <w:tc>
          <w:tcPr>
            <w:tcW w:w="930" w:type="pct"/>
            <w:tcBorders>
              <w:top w:val="single" w:sz="4" w:space="0" w:color="auto"/>
              <w:left w:val="single" w:sz="4" w:space="0" w:color="auto"/>
              <w:bottom w:val="single" w:sz="4" w:space="0" w:color="auto"/>
              <w:right w:val="single" w:sz="4" w:space="0" w:color="auto"/>
            </w:tcBorders>
            <w:vAlign w:val="center"/>
          </w:tcPr>
          <w:p w14:paraId="4B1B4B45"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Realizado por:</w:t>
            </w:r>
          </w:p>
        </w:tc>
        <w:tc>
          <w:tcPr>
            <w:tcW w:w="1796" w:type="pct"/>
            <w:tcBorders>
              <w:top w:val="single" w:sz="4" w:space="0" w:color="auto"/>
              <w:left w:val="single" w:sz="4" w:space="0" w:color="auto"/>
              <w:bottom w:val="single" w:sz="4" w:space="0" w:color="auto"/>
              <w:right w:val="single" w:sz="4" w:space="0" w:color="auto"/>
            </w:tcBorders>
            <w:vAlign w:val="center"/>
          </w:tcPr>
          <w:p w14:paraId="71238628"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ADEA28A"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4A0E8BA2" w14:textId="77777777" w:rsidR="00550434" w:rsidRPr="00474866" w:rsidRDefault="00550434" w:rsidP="00AA6980">
            <w:pPr>
              <w:rPr>
                <w:rFonts w:ascii="Arial" w:eastAsia="Calibri" w:hAnsi="Arial" w:cs="Arial"/>
                <w:b/>
                <w:lang w:val="es-ES"/>
              </w:rPr>
            </w:pPr>
          </w:p>
        </w:tc>
      </w:tr>
      <w:tr w:rsidR="00550434" w:rsidRPr="00474866" w14:paraId="02A9825A" w14:textId="77777777" w:rsidTr="00AA6980">
        <w:trPr>
          <w:trHeight w:val="465"/>
        </w:trPr>
        <w:tc>
          <w:tcPr>
            <w:tcW w:w="930" w:type="pct"/>
            <w:tcBorders>
              <w:top w:val="single" w:sz="4" w:space="0" w:color="auto"/>
              <w:left w:val="single" w:sz="4" w:space="0" w:color="auto"/>
              <w:bottom w:val="single" w:sz="4" w:space="0" w:color="auto"/>
              <w:right w:val="single" w:sz="4" w:space="0" w:color="auto"/>
            </w:tcBorders>
            <w:vAlign w:val="center"/>
          </w:tcPr>
          <w:p w14:paraId="102C2976"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Revisado por:</w:t>
            </w:r>
          </w:p>
        </w:tc>
        <w:tc>
          <w:tcPr>
            <w:tcW w:w="1796" w:type="pct"/>
            <w:tcBorders>
              <w:top w:val="single" w:sz="4" w:space="0" w:color="auto"/>
              <w:left w:val="single" w:sz="4" w:space="0" w:color="auto"/>
              <w:bottom w:val="single" w:sz="4" w:space="0" w:color="auto"/>
              <w:right w:val="single" w:sz="4" w:space="0" w:color="auto"/>
            </w:tcBorders>
            <w:vAlign w:val="center"/>
          </w:tcPr>
          <w:p w14:paraId="093F4819"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5BBD8B59"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1197ABE1" w14:textId="77777777" w:rsidR="00550434" w:rsidRPr="00474866" w:rsidRDefault="00550434" w:rsidP="00AA6980">
            <w:pPr>
              <w:rPr>
                <w:rFonts w:ascii="Arial" w:eastAsia="Calibri" w:hAnsi="Arial" w:cs="Arial"/>
                <w:b/>
                <w:lang w:val="es-ES"/>
              </w:rPr>
            </w:pPr>
          </w:p>
        </w:tc>
      </w:tr>
      <w:tr w:rsidR="00550434" w:rsidRPr="00474866" w14:paraId="4AB2D941" w14:textId="77777777" w:rsidTr="00AA6980">
        <w:trPr>
          <w:trHeight w:val="430"/>
        </w:trPr>
        <w:tc>
          <w:tcPr>
            <w:tcW w:w="930" w:type="pct"/>
            <w:tcBorders>
              <w:top w:val="single" w:sz="4" w:space="0" w:color="auto"/>
              <w:left w:val="single" w:sz="4" w:space="0" w:color="auto"/>
              <w:bottom w:val="single" w:sz="4" w:space="0" w:color="auto"/>
              <w:right w:val="single" w:sz="4" w:space="0" w:color="auto"/>
            </w:tcBorders>
            <w:vAlign w:val="center"/>
            <w:hideMark/>
          </w:tcPr>
          <w:p w14:paraId="3BFA5F3B"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Aprobado por:</w:t>
            </w:r>
          </w:p>
        </w:tc>
        <w:tc>
          <w:tcPr>
            <w:tcW w:w="1796" w:type="pct"/>
            <w:tcBorders>
              <w:top w:val="single" w:sz="4" w:space="0" w:color="auto"/>
              <w:left w:val="single" w:sz="4" w:space="0" w:color="auto"/>
              <w:bottom w:val="single" w:sz="4" w:space="0" w:color="auto"/>
              <w:right w:val="single" w:sz="4" w:space="0" w:color="auto"/>
            </w:tcBorders>
            <w:vAlign w:val="center"/>
          </w:tcPr>
          <w:p w14:paraId="0F243E8B"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C801862"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59346927" w14:textId="77777777" w:rsidR="00550434" w:rsidRPr="00474866" w:rsidRDefault="00550434" w:rsidP="00AA6980">
            <w:pPr>
              <w:rPr>
                <w:rFonts w:ascii="Arial" w:eastAsia="Calibri" w:hAnsi="Arial" w:cs="Arial"/>
                <w:b/>
                <w:lang w:val="es-ES"/>
              </w:rPr>
            </w:pPr>
          </w:p>
        </w:tc>
      </w:tr>
    </w:tbl>
    <w:p w14:paraId="4A457585" w14:textId="77777777" w:rsidR="00550434" w:rsidRPr="00474866" w:rsidRDefault="00550434" w:rsidP="00550434">
      <w:pPr>
        <w:pStyle w:val="Heading1"/>
        <w:spacing w:before="0" w:line="240" w:lineRule="auto"/>
        <w:rPr>
          <w:rFonts w:ascii="Arial" w:hAnsi="Arial" w:cs="Arial"/>
          <w:b/>
          <w:color w:val="auto"/>
          <w:sz w:val="22"/>
          <w:szCs w:val="22"/>
        </w:rPr>
      </w:pPr>
    </w:p>
    <w:p w14:paraId="65BA4029" w14:textId="77777777" w:rsidR="00550434" w:rsidRPr="00474866" w:rsidRDefault="00550434" w:rsidP="00550434">
      <w:pPr>
        <w:pStyle w:val="Heading1"/>
        <w:spacing w:before="0" w:line="240" w:lineRule="auto"/>
        <w:rPr>
          <w:rFonts w:ascii="Arial" w:hAnsi="Arial" w:cs="Arial"/>
          <w:b/>
          <w:color w:val="auto"/>
          <w:sz w:val="22"/>
          <w:szCs w:val="22"/>
        </w:rPr>
      </w:pPr>
    </w:p>
    <w:p w14:paraId="21DD5101" w14:textId="77777777" w:rsidR="00550434" w:rsidRPr="00474866" w:rsidRDefault="00550434" w:rsidP="00821C34">
      <w:pPr>
        <w:tabs>
          <w:tab w:val="left" w:pos="142"/>
        </w:tabs>
        <w:spacing w:after="120" w:line="240" w:lineRule="auto"/>
        <w:jc w:val="both"/>
        <w:rPr>
          <w:rFonts w:ascii="Arial" w:hAnsi="Arial" w:cs="Arial"/>
          <w:b/>
          <w:lang w:val="es-ES"/>
        </w:rPr>
      </w:pPr>
    </w:p>
    <w:p w14:paraId="427944BE" w14:textId="77777777" w:rsidR="00550434" w:rsidRPr="00474866" w:rsidRDefault="00550434" w:rsidP="00821C34">
      <w:pPr>
        <w:tabs>
          <w:tab w:val="left" w:pos="142"/>
        </w:tabs>
        <w:spacing w:after="120" w:line="240" w:lineRule="auto"/>
        <w:jc w:val="both"/>
        <w:rPr>
          <w:rFonts w:ascii="Arial" w:hAnsi="Arial" w:cs="Arial"/>
          <w:b/>
          <w:lang w:val="es-ES"/>
        </w:rPr>
      </w:pPr>
    </w:p>
    <w:p w14:paraId="0E0F51BF" w14:textId="77777777" w:rsidR="00550434" w:rsidRPr="00474866" w:rsidRDefault="00550434" w:rsidP="00821C34">
      <w:pPr>
        <w:tabs>
          <w:tab w:val="left" w:pos="142"/>
        </w:tabs>
        <w:spacing w:after="120" w:line="240" w:lineRule="auto"/>
        <w:jc w:val="both"/>
        <w:rPr>
          <w:rFonts w:ascii="Arial" w:hAnsi="Arial" w:cs="Arial"/>
          <w:b/>
          <w:lang w:val="es-ES"/>
        </w:rPr>
      </w:pPr>
    </w:p>
    <w:p w14:paraId="7CBFD01E" w14:textId="77777777" w:rsidR="00550434" w:rsidRDefault="00550434" w:rsidP="00821C34">
      <w:pPr>
        <w:tabs>
          <w:tab w:val="left" w:pos="142"/>
        </w:tabs>
        <w:spacing w:after="120" w:line="240" w:lineRule="auto"/>
        <w:jc w:val="both"/>
        <w:rPr>
          <w:rFonts w:ascii="Arial" w:hAnsi="Arial" w:cs="Arial"/>
          <w:b/>
          <w:lang w:val="es-ES"/>
        </w:rPr>
      </w:pPr>
    </w:p>
    <w:p w14:paraId="1C4DF962" w14:textId="77777777" w:rsidR="00634FBA" w:rsidRPr="00474866" w:rsidRDefault="00634FBA" w:rsidP="00821C34">
      <w:pPr>
        <w:tabs>
          <w:tab w:val="left" w:pos="142"/>
        </w:tabs>
        <w:spacing w:after="120" w:line="240" w:lineRule="auto"/>
        <w:jc w:val="both"/>
        <w:rPr>
          <w:rFonts w:ascii="Arial" w:hAnsi="Arial" w:cs="Arial"/>
          <w:b/>
          <w:lang w:val="es-ES"/>
        </w:rPr>
      </w:pPr>
    </w:p>
    <w:p w14:paraId="65A016E4" w14:textId="77777777" w:rsidR="00550434" w:rsidRPr="00474866" w:rsidRDefault="00550434" w:rsidP="00821C34">
      <w:pPr>
        <w:tabs>
          <w:tab w:val="left" w:pos="142"/>
        </w:tabs>
        <w:spacing w:after="120" w:line="240" w:lineRule="auto"/>
        <w:jc w:val="both"/>
        <w:rPr>
          <w:rFonts w:ascii="Arial" w:hAnsi="Arial" w:cs="Arial"/>
          <w:b/>
          <w:lang w:val="es-ES"/>
        </w:rPr>
      </w:pPr>
    </w:p>
    <w:p w14:paraId="499B1CBE" w14:textId="77777777" w:rsidR="00550434" w:rsidRPr="00474866" w:rsidRDefault="00550434" w:rsidP="00821C34">
      <w:pPr>
        <w:tabs>
          <w:tab w:val="left" w:pos="142"/>
        </w:tabs>
        <w:spacing w:after="120" w:line="240" w:lineRule="auto"/>
        <w:jc w:val="both"/>
        <w:rPr>
          <w:rFonts w:ascii="Arial" w:hAnsi="Arial" w:cs="Arial"/>
          <w:b/>
          <w:lang w:val="es-ES"/>
        </w:rPr>
      </w:pPr>
    </w:p>
    <w:p w14:paraId="7BC1F769" w14:textId="77777777" w:rsidR="005572DB" w:rsidRDefault="005572DB" w:rsidP="00821C34">
      <w:pPr>
        <w:tabs>
          <w:tab w:val="left" w:pos="142"/>
        </w:tabs>
        <w:spacing w:after="120" w:line="240" w:lineRule="auto"/>
        <w:jc w:val="both"/>
        <w:rPr>
          <w:rFonts w:ascii="Arial" w:hAnsi="Arial" w:cs="Arial"/>
          <w:b/>
          <w:lang w:val="es-ES"/>
        </w:rPr>
      </w:pPr>
    </w:p>
    <w:p w14:paraId="6C6A272D" w14:textId="77777777" w:rsidR="00575A4D" w:rsidRDefault="00575A4D" w:rsidP="00821C34">
      <w:pPr>
        <w:tabs>
          <w:tab w:val="left" w:pos="142"/>
        </w:tabs>
        <w:spacing w:after="120" w:line="240" w:lineRule="auto"/>
        <w:jc w:val="both"/>
        <w:rPr>
          <w:rFonts w:ascii="Arial" w:hAnsi="Arial" w:cs="Arial"/>
          <w:b/>
          <w:lang w:val="es-ES"/>
        </w:rPr>
      </w:pPr>
    </w:p>
    <w:p w14:paraId="73F3B701" w14:textId="77777777" w:rsidR="00575A4D" w:rsidRDefault="00575A4D" w:rsidP="00821C34">
      <w:pPr>
        <w:tabs>
          <w:tab w:val="left" w:pos="142"/>
        </w:tabs>
        <w:spacing w:after="120" w:line="240" w:lineRule="auto"/>
        <w:jc w:val="both"/>
        <w:rPr>
          <w:rFonts w:ascii="Arial" w:hAnsi="Arial" w:cs="Arial"/>
          <w:b/>
          <w:lang w:val="es-ES"/>
        </w:rPr>
      </w:pPr>
    </w:p>
    <w:p w14:paraId="422F01BC" w14:textId="238559BF" w:rsidR="00E75A1F" w:rsidRPr="00441290" w:rsidRDefault="00E75A1F" w:rsidP="00474866">
      <w:pPr>
        <w:tabs>
          <w:tab w:val="left" w:pos="142"/>
        </w:tabs>
        <w:spacing w:after="120" w:line="240" w:lineRule="auto"/>
        <w:jc w:val="both"/>
        <w:rPr>
          <w:rFonts w:ascii="Arial" w:hAnsi="Arial" w:cs="Arial"/>
          <w:b/>
          <w:lang w:val="es-ES"/>
        </w:rPr>
      </w:pPr>
      <w:r w:rsidRPr="00441290">
        <w:rPr>
          <w:rFonts w:ascii="Arial" w:hAnsi="Arial" w:cs="Arial"/>
          <w:b/>
          <w:lang w:val="es-ES"/>
        </w:rPr>
        <w:lastRenderedPageBreak/>
        <w:t>1. OBJETIVO</w:t>
      </w:r>
    </w:p>
    <w:p w14:paraId="466DD24A" w14:textId="26C67C5C" w:rsidR="00A879CC" w:rsidRPr="005F509D" w:rsidRDefault="00AC7206" w:rsidP="00A879CC">
      <w:pPr>
        <w:jc w:val="both"/>
        <w:rPr>
          <w:rFonts w:ascii="Arial" w:eastAsia="Calibri" w:hAnsi="Arial" w:cs="Arial"/>
        </w:rPr>
      </w:pPr>
      <w:r w:rsidRPr="005F509D">
        <w:rPr>
          <w:rFonts w:ascii="Arial" w:eastAsia="Calibri" w:hAnsi="Arial" w:cs="Arial"/>
          <w:lang w:val="es-ES"/>
        </w:rPr>
        <w:t>Establecer un proceso sistemático y disciplinado para</w:t>
      </w:r>
      <w:r w:rsidRPr="005F509D">
        <w:rPr>
          <w:rFonts w:ascii="Arial" w:eastAsia="Calibri" w:hAnsi="Arial" w:cs="Arial"/>
          <w:shd w:val="clear" w:color="auto" w:fill="F2F2F2" w:themeFill="background1" w:themeFillShade="F2"/>
          <w:lang w:val="es-ES"/>
        </w:rPr>
        <w:t xml:space="preserve"> </w:t>
      </w:r>
      <w:r w:rsidR="00B51001" w:rsidRPr="005F509D">
        <w:rPr>
          <w:rFonts w:ascii="Arial" w:hAnsi="Arial" w:cs="Arial"/>
          <w:lang w:val="es-ES"/>
        </w:rPr>
        <w:t>garantizar un uso ético, seguro y adecuado de la información obtenida durante los servicios de auditoría interna, protegiendo su confidencialidad e integridad. Asimismo, busca prevenir el acceso, uso o divulgación no autorizada de información sensible, asegurando que su utilización se limite exclusivamente a fines profesionales y dentro de los límites establecidos</w:t>
      </w:r>
      <w:r w:rsidRPr="005F509D">
        <w:rPr>
          <w:rFonts w:ascii="Arial" w:hAnsi="Arial" w:cs="Arial"/>
          <w:lang w:val="es-ES"/>
        </w:rPr>
        <w:t>.</w:t>
      </w:r>
    </w:p>
    <w:p w14:paraId="7BC98D21" w14:textId="01653A97" w:rsidR="00E75A1F" w:rsidRPr="005F509D" w:rsidRDefault="00E75A1F" w:rsidP="00474866">
      <w:pPr>
        <w:spacing w:after="120" w:line="240" w:lineRule="auto"/>
        <w:jc w:val="both"/>
        <w:rPr>
          <w:rFonts w:ascii="Arial" w:hAnsi="Arial" w:cs="Arial"/>
          <w:b/>
          <w:lang w:val="es-ES"/>
        </w:rPr>
      </w:pPr>
      <w:r w:rsidRPr="005F509D">
        <w:rPr>
          <w:rFonts w:ascii="Arial" w:hAnsi="Arial" w:cs="Arial"/>
          <w:b/>
          <w:lang w:val="es-ES"/>
        </w:rPr>
        <w:t>2. ALCANCE</w:t>
      </w:r>
    </w:p>
    <w:p w14:paraId="76C6519E" w14:textId="0F91E9E1" w:rsidR="00796232" w:rsidRPr="005F509D" w:rsidRDefault="004E603F" w:rsidP="00474866">
      <w:pPr>
        <w:spacing w:after="120" w:line="240" w:lineRule="auto"/>
        <w:jc w:val="both"/>
        <w:rPr>
          <w:rFonts w:ascii="Arial" w:hAnsi="Arial" w:cs="Arial"/>
          <w:bCs/>
          <w:lang w:val="es-ES"/>
        </w:rPr>
      </w:pPr>
      <w:r w:rsidRPr="005F509D">
        <w:rPr>
          <w:rFonts w:ascii="Arial" w:hAnsi="Arial" w:cs="Arial"/>
          <w:bCs/>
          <w:lang w:val="es-ES"/>
        </w:rPr>
        <w:t xml:space="preserve">Este procedimiento abarca el uso ético, seguro y adecuado de la información a lo largo de todo el ciclo de las actividades de auditoría, tanto por parte del Jefe de Auditoría y </w:t>
      </w:r>
      <w:r w:rsidR="00D62E4A" w:rsidRPr="005F509D">
        <w:rPr>
          <w:rFonts w:ascii="Arial" w:hAnsi="Arial" w:cs="Arial"/>
          <w:bCs/>
          <w:lang w:val="es-ES"/>
        </w:rPr>
        <w:t xml:space="preserve">a todos </w:t>
      </w:r>
      <w:r w:rsidRPr="005F509D">
        <w:rPr>
          <w:rFonts w:ascii="Arial" w:hAnsi="Arial" w:cs="Arial"/>
          <w:bCs/>
          <w:lang w:val="es-ES"/>
        </w:rPr>
        <w:t>los integrantes de la función de auditoría interna, como del personal que brinde servicios de auditoría interna —de manera permanente u ocasional— en las dependencias del Servicio.</w:t>
      </w:r>
    </w:p>
    <w:p w14:paraId="3D1EAC2F" w14:textId="77777777" w:rsidR="004E603F" w:rsidRPr="00441290" w:rsidRDefault="004E603F" w:rsidP="00685E41">
      <w:pPr>
        <w:spacing w:after="120" w:line="240" w:lineRule="auto"/>
        <w:jc w:val="both"/>
        <w:rPr>
          <w:rFonts w:ascii="Arial" w:hAnsi="Arial" w:cs="Arial"/>
          <w:bCs/>
          <w:lang w:val="es-ES"/>
        </w:rPr>
      </w:pPr>
    </w:p>
    <w:p w14:paraId="618F1B0A" w14:textId="184DF2B8" w:rsidR="00E75A1F" w:rsidRPr="00441290" w:rsidRDefault="0063480E" w:rsidP="00685E41">
      <w:pPr>
        <w:spacing w:after="120" w:line="240" w:lineRule="auto"/>
        <w:jc w:val="both"/>
        <w:rPr>
          <w:rFonts w:ascii="Arial" w:hAnsi="Arial" w:cs="Arial"/>
          <w:b/>
          <w:lang w:val="es-ES"/>
        </w:rPr>
      </w:pPr>
      <w:r w:rsidRPr="00441290">
        <w:rPr>
          <w:rFonts w:ascii="Arial" w:hAnsi="Arial" w:cs="Arial"/>
          <w:b/>
          <w:lang w:val="es-ES"/>
        </w:rPr>
        <w:t>3</w:t>
      </w:r>
      <w:r w:rsidR="00E75A1F" w:rsidRPr="00441290">
        <w:rPr>
          <w:rFonts w:ascii="Arial" w:hAnsi="Arial" w:cs="Arial"/>
          <w:b/>
          <w:lang w:val="es-ES"/>
        </w:rPr>
        <w:t>. DEFINICIONES</w:t>
      </w:r>
    </w:p>
    <w:p w14:paraId="48342444" w14:textId="5CDA371F"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Consentimiento y Autorización:</w:t>
      </w:r>
      <w:r w:rsidRPr="00441290">
        <w:rPr>
          <w:rFonts w:ascii="Arial" w:hAnsi="Arial" w:cs="Arial"/>
          <w:sz w:val="22"/>
          <w:szCs w:val="22"/>
        </w:rPr>
        <w:t xml:space="preserve"> Requisito de obtener la aprobación correspondiente para compartir o divulgar información, excepto en casos de obligación legal o profesional que lo permitan o exijan.</w:t>
      </w:r>
    </w:p>
    <w:p w14:paraId="13602417" w14:textId="7FA42D8A"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Información Confidencial:</w:t>
      </w:r>
      <w:r w:rsidRPr="00441290">
        <w:rPr>
          <w:rFonts w:ascii="Arial" w:hAnsi="Arial" w:cs="Arial"/>
          <w:sz w:val="22"/>
          <w:szCs w:val="22"/>
        </w:rPr>
        <w:t xml:space="preserve"> Datos sensibles obtenidos durante los trabajos de auditoría interna, cuyo acceso y divulgación deben limitarse exclusivamente a los fines profesionales autorizados.</w:t>
      </w:r>
    </w:p>
    <w:p w14:paraId="6A554298" w14:textId="58740B4E"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Protección de la Información:</w:t>
      </w:r>
      <w:r w:rsidRPr="00441290">
        <w:rPr>
          <w:rFonts w:ascii="Arial" w:hAnsi="Arial" w:cs="Arial"/>
          <w:sz w:val="22"/>
          <w:szCs w:val="22"/>
        </w:rPr>
        <w:t xml:space="preserve"> Conjunto de medidas para salvaguardar la información, incluyendo su almacenamiento, acceso y eliminación, con el fin de evitar su uso indebido o divulgación no autorizada.</w:t>
      </w:r>
    </w:p>
    <w:p w14:paraId="63E8C2EB" w14:textId="76E2990F"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Sector Público:</w:t>
      </w:r>
      <w:r w:rsidRPr="00441290">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1AAC296F" w14:textId="77777777"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Seguridad de la Información:</w:t>
      </w:r>
      <w:r w:rsidRPr="00441290">
        <w:rPr>
          <w:rFonts w:ascii="Arial" w:hAnsi="Arial" w:cs="Arial"/>
          <w:sz w:val="22"/>
          <w:szCs w:val="22"/>
        </w:rPr>
        <w:t xml:space="preserve"> Prácticas y herramientas utilizadas para garantizar que la información digital y física esté protegida frente a accesos no autorizados, alteraciones, pérdidas o divulgaciones.</w:t>
      </w:r>
    </w:p>
    <w:p w14:paraId="27756C7C" w14:textId="25F748AF"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Unidad Central de Armonización (Central Harmonisation Unit - CHU):</w:t>
      </w:r>
      <w:r w:rsidRPr="00441290">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5ECFA6D7" w14:textId="77777777" w:rsidR="00685E41" w:rsidRPr="00441290" w:rsidRDefault="00685E41" w:rsidP="00685E41">
      <w:pPr>
        <w:pStyle w:val="NormalWeb"/>
        <w:ind w:left="720"/>
        <w:jc w:val="both"/>
        <w:rPr>
          <w:rFonts w:ascii="Arial" w:hAnsi="Arial" w:cs="Arial"/>
          <w:sz w:val="22"/>
          <w:szCs w:val="22"/>
        </w:rPr>
      </w:pPr>
      <w:r w:rsidRPr="00441290">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5F405F1E" w14:textId="5CF951FF" w:rsidR="00685E41" w:rsidRPr="00441290" w:rsidRDefault="00685E41" w:rsidP="00685E41">
      <w:pPr>
        <w:pStyle w:val="NormalWeb"/>
        <w:numPr>
          <w:ilvl w:val="0"/>
          <w:numId w:val="26"/>
        </w:numPr>
        <w:jc w:val="both"/>
        <w:rPr>
          <w:rFonts w:ascii="Arial" w:hAnsi="Arial" w:cs="Arial"/>
          <w:sz w:val="22"/>
          <w:szCs w:val="22"/>
        </w:rPr>
      </w:pPr>
      <w:r w:rsidRPr="00441290">
        <w:rPr>
          <w:rStyle w:val="Strong"/>
          <w:rFonts w:ascii="Arial" w:hAnsi="Arial" w:cs="Arial"/>
          <w:sz w:val="22"/>
          <w:szCs w:val="22"/>
        </w:rPr>
        <w:t>Uso Ético de la Información:</w:t>
      </w:r>
      <w:r w:rsidRPr="00441290">
        <w:rPr>
          <w:rFonts w:ascii="Arial" w:hAnsi="Arial" w:cs="Arial"/>
          <w:sz w:val="22"/>
          <w:szCs w:val="22"/>
        </w:rPr>
        <w:t xml:space="preserve"> Principio que regula que los auditores internos utilicen la información únicamente para los fines definidos en sus responsabilidades profesionales, prohibiendo el lucro personal o uso indebido.</w:t>
      </w:r>
    </w:p>
    <w:p w14:paraId="4CF62EC2" w14:textId="77777777" w:rsidR="00AE7315" w:rsidRPr="00441290" w:rsidRDefault="00AE7315" w:rsidP="001E1509">
      <w:pPr>
        <w:spacing w:after="0" w:line="240" w:lineRule="auto"/>
        <w:jc w:val="both"/>
        <w:rPr>
          <w:rFonts w:ascii="Arial" w:hAnsi="Arial" w:cs="Arial"/>
          <w:bCs/>
        </w:rPr>
      </w:pPr>
    </w:p>
    <w:p w14:paraId="64EE57DA" w14:textId="2308AEF1" w:rsidR="00E75A1F" w:rsidRDefault="00E75A1F" w:rsidP="00485230">
      <w:pPr>
        <w:tabs>
          <w:tab w:val="left" w:pos="1770"/>
        </w:tabs>
        <w:spacing w:after="0" w:line="240" w:lineRule="auto"/>
        <w:jc w:val="both"/>
        <w:rPr>
          <w:rFonts w:ascii="Arial" w:hAnsi="Arial" w:cs="Arial"/>
          <w:bCs/>
          <w:sz w:val="16"/>
          <w:szCs w:val="16"/>
          <w:lang w:val="es-ES"/>
        </w:rPr>
      </w:pPr>
    </w:p>
    <w:p w14:paraId="7B7D3684" w14:textId="77777777" w:rsidR="00441290" w:rsidRDefault="00441290" w:rsidP="00485230">
      <w:pPr>
        <w:tabs>
          <w:tab w:val="left" w:pos="1770"/>
        </w:tabs>
        <w:spacing w:after="0" w:line="240" w:lineRule="auto"/>
        <w:jc w:val="both"/>
        <w:rPr>
          <w:rFonts w:ascii="Arial" w:hAnsi="Arial" w:cs="Arial"/>
          <w:bCs/>
          <w:sz w:val="16"/>
          <w:szCs w:val="16"/>
          <w:lang w:val="es-ES"/>
        </w:rPr>
      </w:pPr>
    </w:p>
    <w:p w14:paraId="0326A64D" w14:textId="77777777" w:rsidR="00441290" w:rsidRDefault="00441290" w:rsidP="00485230">
      <w:pPr>
        <w:tabs>
          <w:tab w:val="left" w:pos="1770"/>
        </w:tabs>
        <w:spacing w:after="0" w:line="240" w:lineRule="auto"/>
        <w:jc w:val="both"/>
        <w:rPr>
          <w:rFonts w:ascii="Arial" w:hAnsi="Arial" w:cs="Arial"/>
          <w:bCs/>
          <w:sz w:val="16"/>
          <w:szCs w:val="16"/>
          <w:lang w:val="es-ES"/>
        </w:rPr>
      </w:pPr>
    </w:p>
    <w:p w14:paraId="66E677B3" w14:textId="77777777" w:rsidR="00441290" w:rsidRDefault="00441290" w:rsidP="00485230">
      <w:pPr>
        <w:tabs>
          <w:tab w:val="left" w:pos="1770"/>
        </w:tabs>
        <w:spacing w:after="0" w:line="240" w:lineRule="auto"/>
        <w:jc w:val="both"/>
        <w:rPr>
          <w:rFonts w:ascii="Arial" w:hAnsi="Arial" w:cs="Arial"/>
          <w:bCs/>
          <w:sz w:val="16"/>
          <w:szCs w:val="16"/>
          <w:lang w:val="es-ES"/>
        </w:rPr>
      </w:pPr>
    </w:p>
    <w:p w14:paraId="1B4C0381" w14:textId="77777777" w:rsidR="00441290" w:rsidRDefault="00441290" w:rsidP="00485230">
      <w:pPr>
        <w:tabs>
          <w:tab w:val="left" w:pos="1770"/>
        </w:tabs>
        <w:spacing w:after="0" w:line="240" w:lineRule="auto"/>
        <w:jc w:val="both"/>
        <w:rPr>
          <w:rFonts w:ascii="Arial" w:hAnsi="Arial" w:cs="Arial"/>
          <w:bCs/>
          <w:sz w:val="16"/>
          <w:szCs w:val="16"/>
          <w:lang w:val="es-ES"/>
        </w:rPr>
      </w:pPr>
    </w:p>
    <w:p w14:paraId="0480F3DD" w14:textId="77777777" w:rsidR="00441290" w:rsidRDefault="00441290" w:rsidP="00485230">
      <w:pPr>
        <w:tabs>
          <w:tab w:val="left" w:pos="1770"/>
        </w:tabs>
        <w:spacing w:after="0" w:line="240" w:lineRule="auto"/>
        <w:jc w:val="both"/>
        <w:rPr>
          <w:rFonts w:ascii="Arial" w:hAnsi="Arial" w:cs="Arial"/>
          <w:bCs/>
          <w:sz w:val="16"/>
          <w:szCs w:val="16"/>
          <w:lang w:val="es-ES"/>
        </w:rPr>
      </w:pPr>
    </w:p>
    <w:p w14:paraId="501092CE" w14:textId="77777777" w:rsidR="00441290" w:rsidRDefault="00441290" w:rsidP="00485230">
      <w:pPr>
        <w:tabs>
          <w:tab w:val="left" w:pos="1770"/>
        </w:tabs>
        <w:spacing w:after="0" w:line="240" w:lineRule="auto"/>
        <w:jc w:val="both"/>
        <w:rPr>
          <w:rFonts w:ascii="Arial" w:hAnsi="Arial" w:cs="Arial"/>
          <w:bCs/>
          <w:sz w:val="16"/>
          <w:szCs w:val="16"/>
          <w:lang w:val="es-ES"/>
        </w:rPr>
      </w:pPr>
    </w:p>
    <w:p w14:paraId="012795DD" w14:textId="77777777" w:rsidR="00441290" w:rsidRDefault="00441290" w:rsidP="00485230">
      <w:pPr>
        <w:tabs>
          <w:tab w:val="left" w:pos="1770"/>
        </w:tabs>
        <w:spacing w:after="0" w:line="240" w:lineRule="auto"/>
        <w:jc w:val="both"/>
        <w:rPr>
          <w:rFonts w:ascii="Arial" w:hAnsi="Arial" w:cs="Arial"/>
          <w:bCs/>
          <w:sz w:val="16"/>
          <w:szCs w:val="16"/>
          <w:lang w:val="es-ES"/>
        </w:rPr>
      </w:pPr>
    </w:p>
    <w:p w14:paraId="150F2753" w14:textId="77777777" w:rsidR="00441290" w:rsidRDefault="00441290" w:rsidP="00485230">
      <w:pPr>
        <w:tabs>
          <w:tab w:val="left" w:pos="1770"/>
        </w:tabs>
        <w:spacing w:after="0" w:line="240" w:lineRule="auto"/>
        <w:jc w:val="both"/>
        <w:rPr>
          <w:rFonts w:ascii="Arial" w:hAnsi="Arial" w:cs="Arial"/>
          <w:bCs/>
          <w:sz w:val="16"/>
          <w:szCs w:val="16"/>
          <w:lang w:val="es-ES"/>
        </w:rPr>
      </w:pPr>
    </w:p>
    <w:p w14:paraId="020F124F" w14:textId="77777777" w:rsidR="00441290" w:rsidRDefault="00441290" w:rsidP="00485230">
      <w:pPr>
        <w:tabs>
          <w:tab w:val="left" w:pos="1770"/>
        </w:tabs>
        <w:spacing w:after="0" w:line="240" w:lineRule="auto"/>
        <w:jc w:val="both"/>
        <w:rPr>
          <w:rFonts w:ascii="Arial" w:hAnsi="Arial" w:cs="Arial"/>
          <w:bCs/>
          <w:sz w:val="16"/>
          <w:szCs w:val="16"/>
          <w:lang w:val="es-ES"/>
        </w:rPr>
      </w:pPr>
    </w:p>
    <w:p w14:paraId="42A48A83" w14:textId="77777777" w:rsidR="00441290" w:rsidRDefault="00441290" w:rsidP="00485230">
      <w:pPr>
        <w:tabs>
          <w:tab w:val="left" w:pos="1770"/>
        </w:tabs>
        <w:spacing w:after="0" w:line="240" w:lineRule="auto"/>
        <w:jc w:val="both"/>
        <w:rPr>
          <w:rFonts w:ascii="Arial" w:hAnsi="Arial" w:cs="Arial"/>
          <w:bCs/>
          <w:sz w:val="16"/>
          <w:szCs w:val="16"/>
          <w:lang w:val="es-ES"/>
        </w:rPr>
      </w:pPr>
    </w:p>
    <w:p w14:paraId="0AAD2D34" w14:textId="77777777" w:rsidR="00441290" w:rsidRDefault="00441290" w:rsidP="00485230">
      <w:pPr>
        <w:tabs>
          <w:tab w:val="left" w:pos="1770"/>
        </w:tabs>
        <w:spacing w:after="0" w:line="240" w:lineRule="auto"/>
        <w:jc w:val="both"/>
        <w:rPr>
          <w:rFonts w:ascii="Arial" w:hAnsi="Arial" w:cs="Arial"/>
          <w:bCs/>
          <w:sz w:val="16"/>
          <w:szCs w:val="16"/>
          <w:lang w:val="es-ES"/>
        </w:rPr>
      </w:pPr>
    </w:p>
    <w:p w14:paraId="4E57A174" w14:textId="77777777" w:rsidR="00441290" w:rsidRPr="00441290" w:rsidRDefault="00441290" w:rsidP="00485230">
      <w:pPr>
        <w:tabs>
          <w:tab w:val="left" w:pos="1770"/>
        </w:tabs>
        <w:spacing w:after="0" w:line="240" w:lineRule="auto"/>
        <w:jc w:val="both"/>
        <w:rPr>
          <w:rFonts w:ascii="Arial" w:hAnsi="Arial" w:cs="Arial"/>
          <w:bCs/>
          <w:sz w:val="16"/>
          <w:szCs w:val="16"/>
          <w:lang w:val="es-ES"/>
        </w:rPr>
      </w:pPr>
    </w:p>
    <w:p w14:paraId="2FBC7181" w14:textId="3113F676" w:rsidR="00E75A1F" w:rsidRDefault="0063480E" w:rsidP="00FE3166">
      <w:pPr>
        <w:spacing w:line="240" w:lineRule="auto"/>
        <w:jc w:val="both"/>
        <w:rPr>
          <w:rFonts w:ascii="Arial" w:hAnsi="Arial" w:cs="Arial"/>
          <w:b/>
          <w:lang w:val="es-ES"/>
        </w:rPr>
      </w:pPr>
      <w:r w:rsidRPr="00474866">
        <w:rPr>
          <w:rFonts w:ascii="Arial" w:hAnsi="Arial" w:cs="Arial"/>
          <w:b/>
          <w:lang w:val="es-ES"/>
        </w:rPr>
        <w:lastRenderedPageBreak/>
        <w:t>4</w:t>
      </w:r>
      <w:r w:rsidR="00E75A1F" w:rsidRPr="00474866">
        <w:rPr>
          <w:rFonts w:ascii="Arial" w:hAnsi="Arial" w:cs="Arial"/>
          <w:b/>
          <w:lang w:val="es-ES"/>
        </w:rPr>
        <w:t>. RESPONSABILIDADES</w:t>
      </w:r>
    </w:p>
    <w:tbl>
      <w:tblPr>
        <w:tblStyle w:val="TableGrid"/>
        <w:tblW w:w="0" w:type="auto"/>
        <w:tblInd w:w="108" w:type="dxa"/>
        <w:tblLook w:val="04A0" w:firstRow="1" w:lastRow="0" w:firstColumn="1" w:lastColumn="0" w:noHBand="0" w:noVBand="1"/>
      </w:tblPr>
      <w:tblGrid>
        <w:gridCol w:w="2014"/>
        <w:gridCol w:w="8051"/>
      </w:tblGrid>
      <w:tr w:rsidR="00FE3166" w:rsidRPr="00474866" w14:paraId="5A48D98D" w14:textId="77777777" w:rsidTr="00D2748A">
        <w:tc>
          <w:tcPr>
            <w:tcW w:w="2014" w:type="dxa"/>
            <w:shd w:val="clear" w:color="auto" w:fill="0070C0"/>
          </w:tcPr>
          <w:p w14:paraId="3F38117D" w14:textId="77777777" w:rsidR="00FE3166" w:rsidRPr="00796232" w:rsidRDefault="00FE3166" w:rsidP="00D2748A">
            <w:pPr>
              <w:tabs>
                <w:tab w:val="right" w:pos="1798"/>
              </w:tabs>
              <w:jc w:val="center"/>
              <w:rPr>
                <w:rFonts w:ascii="Arial" w:hAnsi="Arial" w:cs="Arial"/>
                <w:b/>
                <w:color w:val="FFFFFF" w:themeColor="background1"/>
                <w:lang w:val="es-ES"/>
              </w:rPr>
            </w:pPr>
            <w:r w:rsidRPr="00796232">
              <w:rPr>
                <w:rFonts w:ascii="Arial" w:hAnsi="Arial" w:cs="Arial"/>
                <w:b/>
                <w:color w:val="FFFFFF" w:themeColor="background1"/>
                <w:lang w:val="es-ES"/>
              </w:rPr>
              <w:t>Cargo</w:t>
            </w:r>
          </w:p>
        </w:tc>
        <w:tc>
          <w:tcPr>
            <w:tcW w:w="8051" w:type="dxa"/>
            <w:shd w:val="clear" w:color="auto" w:fill="0070C0"/>
          </w:tcPr>
          <w:p w14:paraId="6503B523" w14:textId="77777777" w:rsidR="00FE3166" w:rsidRPr="00796232" w:rsidRDefault="00FE3166" w:rsidP="00D2748A">
            <w:pPr>
              <w:jc w:val="center"/>
              <w:rPr>
                <w:rFonts w:ascii="Arial" w:hAnsi="Arial" w:cs="Arial"/>
                <w:b/>
                <w:color w:val="FFFFFF" w:themeColor="background1"/>
                <w:lang w:val="es-ES"/>
              </w:rPr>
            </w:pPr>
            <w:r w:rsidRPr="00796232">
              <w:rPr>
                <w:rFonts w:ascii="Arial" w:hAnsi="Arial" w:cs="Arial"/>
                <w:b/>
                <w:color w:val="FFFFFF" w:themeColor="background1"/>
                <w:lang w:val="es-ES"/>
              </w:rPr>
              <w:t>Descripción</w:t>
            </w:r>
          </w:p>
        </w:tc>
      </w:tr>
      <w:tr w:rsidR="00FE3166" w:rsidRPr="00474866" w14:paraId="305621D1" w14:textId="77777777" w:rsidTr="00D2748A">
        <w:tc>
          <w:tcPr>
            <w:tcW w:w="2014" w:type="dxa"/>
            <w:vAlign w:val="center"/>
          </w:tcPr>
          <w:p w14:paraId="37CEEE42" w14:textId="77777777" w:rsidR="00FE3166" w:rsidRPr="00441290" w:rsidRDefault="00FE3166" w:rsidP="00D2748A">
            <w:pPr>
              <w:jc w:val="center"/>
              <w:rPr>
                <w:rFonts w:ascii="Arial" w:hAnsi="Arial" w:cs="Arial"/>
                <w:b/>
                <w:bCs/>
                <w:lang w:val="es-ES"/>
              </w:rPr>
            </w:pPr>
            <w:r w:rsidRPr="00441290">
              <w:rPr>
                <w:rFonts w:ascii="Arial" w:hAnsi="Arial" w:cs="Arial"/>
                <w:b/>
                <w:bCs/>
                <w:lang w:val="es-ES"/>
              </w:rPr>
              <w:t>Jefe de Auditoría</w:t>
            </w:r>
          </w:p>
        </w:tc>
        <w:tc>
          <w:tcPr>
            <w:tcW w:w="8051" w:type="dxa"/>
          </w:tcPr>
          <w:p w14:paraId="6B5A9CA9" w14:textId="77777777" w:rsidR="0073756F" w:rsidRPr="00441290" w:rsidRDefault="0073756F"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Entrega y supervisa la firma del compromiso de confidencialidad.</w:t>
            </w:r>
          </w:p>
          <w:p w14:paraId="0E38EEF7" w14:textId="77777777" w:rsidR="0073756F" w:rsidRPr="00441290" w:rsidRDefault="0073756F"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Planifica capacitaciones anuales sobre protección de la información.</w:t>
            </w:r>
          </w:p>
          <w:p w14:paraId="39343F0A" w14:textId="77777777" w:rsidR="0073756F" w:rsidRPr="00441290" w:rsidRDefault="0073756F"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Gestiona incidentes de confidencialidad, documentando medidas correctivas.</w:t>
            </w:r>
          </w:p>
          <w:p w14:paraId="5C7C870F" w14:textId="24633D26" w:rsidR="00FE3166" w:rsidRPr="00441290" w:rsidRDefault="0073756F"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Evalúa y mejora continuamente los controles aplicados en la auditoría interna.</w:t>
            </w:r>
          </w:p>
        </w:tc>
      </w:tr>
      <w:tr w:rsidR="00FE3166" w:rsidRPr="00474866" w14:paraId="7EDF4599" w14:textId="77777777" w:rsidTr="00D2748A">
        <w:tc>
          <w:tcPr>
            <w:tcW w:w="2014" w:type="dxa"/>
            <w:vAlign w:val="center"/>
          </w:tcPr>
          <w:p w14:paraId="735C20D2" w14:textId="77777777" w:rsidR="00FE3166" w:rsidRPr="00441290" w:rsidRDefault="00FE3166" w:rsidP="00D2748A">
            <w:pPr>
              <w:jc w:val="center"/>
              <w:rPr>
                <w:rFonts w:ascii="Arial" w:hAnsi="Arial" w:cs="Arial"/>
                <w:b/>
                <w:bCs/>
                <w:lang w:val="es-ES"/>
              </w:rPr>
            </w:pPr>
            <w:r w:rsidRPr="00441290">
              <w:rPr>
                <w:rFonts w:ascii="Arial" w:hAnsi="Arial" w:cs="Arial"/>
                <w:b/>
                <w:bCs/>
                <w:lang w:val="es-ES"/>
              </w:rPr>
              <w:t>Supervisor</w:t>
            </w:r>
          </w:p>
        </w:tc>
        <w:tc>
          <w:tcPr>
            <w:tcW w:w="8051" w:type="dxa"/>
          </w:tcPr>
          <w:p w14:paraId="71528516" w14:textId="77777777" w:rsidR="007E1129"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Monitorea el cumplimiento de las medidas de seguridad y confidencialidad.</w:t>
            </w:r>
          </w:p>
          <w:p w14:paraId="05C8909C" w14:textId="77777777" w:rsidR="007E1129"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Revisa y documenta irregularidades detectadas en el manejo de la información.</w:t>
            </w:r>
          </w:p>
          <w:p w14:paraId="02C5F1F0" w14:textId="7A606EA2" w:rsidR="00FE3166"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Asegura la correcta clasificación y protección de la información en cada auditoría.</w:t>
            </w:r>
          </w:p>
        </w:tc>
      </w:tr>
      <w:tr w:rsidR="00FE3166" w:rsidRPr="00474866" w14:paraId="3BCA0772" w14:textId="77777777" w:rsidTr="00D2748A">
        <w:tc>
          <w:tcPr>
            <w:tcW w:w="2014" w:type="dxa"/>
            <w:vAlign w:val="center"/>
          </w:tcPr>
          <w:p w14:paraId="567DEE60" w14:textId="77777777" w:rsidR="00FE3166" w:rsidRPr="00441290" w:rsidRDefault="00FE3166" w:rsidP="00D2748A">
            <w:pPr>
              <w:jc w:val="center"/>
              <w:rPr>
                <w:rFonts w:ascii="Arial" w:hAnsi="Arial" w:cs="Arial"/>
                <w:b/>
                <w:bCs/>
                <w:lang w:val="es-ES"/>
              </w:rPr>
            </w:pPr>
            <w:r w:rsidRPr="00441290">
              <w:rPr>
                <w:rFonts w:ascii="Arial" w:hAnsi="Arial" w:cs="Arial"/>
                <w:b/>
                <w:bCs/>
                <w:lang w:val="es-ES"/>
              </w:rPr>
              <w:t>Auditor Interno</w:t>
            </w:r>
          </w:p>
        </w:tc>
        <w:tc>
          <w:tcPr>
            <w:tcW w:w="8051" w:type="dxa"/>
          </w:tcPr>
          <w:p w14:paraId="4E47FD03" w14:textId="77777777" w:rsidR="007E1129"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Firman el compromiso de confidencialidad y cumplen con sus disposiciones.</w:t>
            </w:r>
          </w:p>
          <w:p w14:paraId="3AC24750" w14:textId="77777777" w:rsidR="007E1129"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Aplican medidas de seguridad en la recopilación y almacenamiento de datos.</w:t>
            </w:r>
          </w:p>
          <w:p w14:paraId="4A369F21" w14:textId="77777777" w:rsidR="007E1129"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Reportan incidentes de acceso no autorizado o mal manejo de información.</w:t>
            </w:r>
          </w:p>
          <w:p w14:paraId="760BBFCD" w14:textId="2C839160" w:rsidR="00FE3166" w:rsidRPr="00441290" w:rsidRDefault="007E1129" w:rsidP="000F3DAA">
            <w:pPr>
              <w:pStyle w:val="ListParagraph"/>
              <w:numPr>
                <w:ilvl w:val="0"/>
                <w:numId w:val="21"/>
              </w:numPr>
              <w:ind w:left="437"/>
              <w:jc w:val="both"/>
              <w:rPr>
                <w:rFonts w:ascii="Arial" w:hAnsi="Arial" w:cs="Arial"/>
                <w:bCs/>
                <w:lang w:val="es-ES"/>
              </w:rPr>
            </w:pPr>
            <w:r w:rsidRPr="00441290">
              <w:rPr>
                <w:rFonts w:ascii="Arial" w:hAnsi="Arial" w:cs="Arial"/>
                <w:bCs/>
                <w:lang w:val="es-ES"/>
              </w:rPr>
              <w:t>Asisten a capacitaciones y aplican buenas prácticas de protección de datos.</w:t>
            </w:r>
          </w:p>
        </w:tc>
      </w:tr>
    </w:tbl>
    <w:p w14:paraId="737CC5E6" w14:textId="77777777" w:rsidR="00981F18" w:rsidRDefault="00981F18" w:rsidP="002377D6">
      <w:pPr>
        <w:spacing w:line="240" w:lineRule="auto"/>
        <w:jc w:val="both"/>
        <w:rPr>
          <w:rFonts w:ascii="Arial" w:hAnsi="Arial" w:cs="Arial"/>
          <w:b/>
          <w:color w:val="000000" w:themeColor="text1"/>
          <w:lang w:val="es-ES"/>
        </w:rPr>
      </w:pPr>
    </w:p>
    <w:p w14:paraId="3A742087" w14:textId="150171F0" w:rsidR="002377D6" w:rsidRDefault="0063480E" w:rsidP="002377D6">
      <w:pPr>
        <w:spacing w:line="240" w:lineRule="auto"/>
        <w:jc w:val="both"/>
        <w:rPr>
          <w:rFonts w:ascii="Arial" w:hAnsi="Arial" w:cs="Arial"/>
          <w:b/>
          <w:color w:val="000000" w:themeColor="text1"/>
          <w:lang w:val="es-ES"/>
        </w:rPr>
      </w:pPr>
      <w:r w:rsidRPr="00474866">
        <w:rPr>
          <w:rFonts w:ascii="Arial" w:hAnsi="Arial" w:cs="Arial"/>
          <w:b/>
          <w:color w:val="000000" w:themeColor="text1"/>
          <w:lang w:val="es-ES"/>
        </w:rPr>
        <w:t>5</w:t>
      </w:r>
      <w:r w:rsidR="00E75A1F" w:rsidRPr="00474866">
        <w:rPr>
          <w:rFonts w:ascii="Arial" w:hAnsi="Arial" w:cs="Arial"/>
          <w:b/>
          <w:color w:val="000000" w:themeColor="text1"/>
          <w:lang w:val="es-ES"/>
        </w:rPr>
        <w:t xml:space="preserve">. </w:t>
      </w:r>
      <w:r w:rsidR="00796232">
        <w:rPr>
          <w:rFonts w:ascii="Arial" w:hAnsi="Arial" w:cs="Arial"/>
          <w:b/>
          <w:color w:val="000000" w:themeColor="text1"/>
          <w:lang w:val="es-ES"/>
        </w:rPr>
        <w:t xml:space="preserve">DESCRIPCIÓN </w:t>
      </w:r>
      <w:r w:rsidR="00E75A1F" w:rsidRPr="00474866">
        <w:rPr>
          <w:rFonts w:ascii="Arial" w:hAnsi="Arial" w:cs="Arial"/>
          <w:b/>
          <w:color w:val="000000" w:themeColor="text1"/>
          <w:lang w:val="es-ES"/>
        </w:rPr>
        <w:t xml:space="preserve">PROCEDIMIENTO </w:t>
      </w:r>
      <w:r w:rsidR="0010428B">
        <w:rPr>
          <w:rFonts w:ascii="Arial" w:hAnsi="Arial" w:cs="Arial"/>
          <w:b/>
          <w:color w:val="000000" w:themeColor="text1"/>
          <w:lang w:val="es-ES"/>
        </w:rPr>
        <w:t>USO</w:t>
      </w:r>
      <w:r w:rsidR="00542E01" w:rsidRPr="00542E01">
        <w:rPr>
          <w:rFonts w:ascii="Arial" w:hAnsi="Arial" w:cs="Arial"/>
          <w:b/>
          <w:color w:val="000000" w:themeColor="text1"/>
          <w:lang w:val="es-ES"/>
        </w:rPr>
        <w:t xml:space="preserve"> Y PROTECCIÓN DE LA INFORMACIÓN</w:t>
      </w:r>
    </w:p>
    <w:p w14:paraId="2CF44DB0" w14:textId="1B80D337" w:rsidR="00014B13" w:rsidRPr="00B80FE2" w:rsidRDefault="00014B13" w:rsidP="00AC356B">
      <w:pPr>
        <w:pStyle w:val="ListParagraph"/>
        <w:numPr>
          <w:ilvl w:val="1"/>
          <w:numId w:val="3"/>
        </w:numPr>
        <w:rPr>
          <w:rFonts w:ascii="Arial" w:hAnsi="Arial" w:cs="Arial"/>
        </w:rPr>
      </w:pPr>
      <w:r w:rsidRPr="00B80FE2">
        <w:rPr>
          <w:rFonts w:ascii="Arial" w:hAnsi="Arial" w:cs="Arial"/>
          <w:b/>
          <w:bCs/>
        </w:rPr>
        <w:t>Entrega y Conocimiento del Procedimiento</w:t>
      </w:r>
    </w:p>
    <w:p w14:paraId="33551495" w14:textId="77777777" w:rsidR="00014B13" w:rsidRPr="00441290" w:rsidRDefault="00014B13" w:rsidP="00441290">
      <w:pPr>
        <w:numPr>
          <w:ilvl w:val="0"/>
          <w:numId w:val="8"/>
        </w:numPr>
        <w:jc w:val="both"/>
        <w:rPr>
          <w:rFonts w:ascii="Arial" w:hAnsi="Arial" w:cs="Arial"/>
        </w:rPr>
      </w:pPr>
      <w:r w:rsidRPr="00441290">
        <w:rPr>
          <w:rFonts w:ascii="Arial" w:hAnsi="Arial" w:cs="Arial"/>
        </w:rPr>
        <w:t>Al ingresar a la función de auditoría interna, el Jefe de Auditoría y cada auditor interno recibirán una copia del procedimiento de confidencialidad y protección de la información, junto con las políticas relacionadas.</w:t>
      </w:r>
    </w:p>
    <w:p w14:paraId="472A1CF2" w14:textId="77777777" w:rsidR="00014B13" w:rsidRPr="00441290" w:rsidRDefault="00014B13" w:rsidP="00441290">
      <w:pPr>
        <w:numPr>
          <w:ilvl w:val="0"/>
          <w:numId w:val="8"/>
        </w:numPr>
        <w:jc w:val="both"/>
        <w:rPr>
          <w:rFonts w:ascii="Arial" w:hAnsi="Arial" w:cs="Arial"/>
        </w:rPr>
      </w:pPr>
      <w:r w:rsidRPr="00441290">
        <w:rPr>
          <w:rFonts w:ascii="Arial" w:hAnsi="Arial" w:cs="Arial"/>
        </w:rPr>
        <w:t xml:space="preserve">Deberán firmar el </w:t>
      </w:r>
      <w:r w:rsidRPr="00441290">
        <w:rPr>
          <w:rFonts w:ascii="Arial" w:hAnsi="Arial" w:cs="Arial"/>
          <w:b/>
          <w:bCs/>
        </w:rPr>
        <w:t xml:space="preserve">Formulario Entrega de Procedimiento de Confidencialidad y Protección de la Información </w:t>
      </w:r>
      <w:r w:rsidRPr="00441290">
        <w:rPr>
          <w:rFonts w:ascii="Arial" w:hAnsi="Arial" w:cs="Arial"/>
        </w:rPr>
        <w:t>para evidenciar la recepción y comprensión del contenido.</w:t>
      </w:r>
    </w:p>
    <w:p w14:paraId="36D6A42F" w14:textId="72034168" w:rsidR="00014B13" w:rsidRPr="00441290" w:rsidRDefault="00014B13" w:rsidP="00441290">
      <w:pPr>
        <w:pStyle w:val="ListParagraph"/>
        <w:numPr>
          <w:ilvl w:val="1"/>
          <w:numId w:val="3"/>
        </w:numPr>
        <w:jc w:val="both"/>
        <w:rPr>
          <w:rFonts w:ascii="Arial" w:hAnsi="Arial" w:cs="Arial"/>
        </w:rPr>
      </w:pPr>
      <w:r w:rsidRPr="00441290">
        <w:rPr>
          <w:rFonts w:ascii="Arial" w:hAnsi="Arial" w:cs="Arial"/>
          <w:b/>
          <w:bCs/>
        </w:rPr>
        <w:t>Declaración de Compromiso de Confidencialidad</w:t>
      </w:r>
    </w:p>
    <w:p w14:paraId="63656FC5" w14:textId="77777777" w:rsidR="00014B13" w:rsidRPr="00441290" w:rsidRDefault="00014B13" w:rsidP="00441290">
      <w:pPr>
        <w:numPr>
          <w:ilvl w:val="0"/>
          <w:numId w:val="9"/>
        </w:numPr>
        <w:jc w:val="both"/>
        <w:rPr>
          <w:rFonts w:ascii="Arial" w:hAnsi="Arial" w:cs="Arial"/>
        </w:rPr>
      </w:pPr>
      <w:r w:rsidRPr="00441290">
        <w:rPr>
          <w:rFonts w:ascii="Arial" w:hAnsi="Arial" w:cs="Arial"/>
        </w:rPr>
        <w:t xml:space="preserve">Todos los auditores internos y personal externo que tenga acceso a información sensible deberán completar el </w:t>
      </w:r>
      <w:r w:rsidRPr="00441290">
        <w:rPr>
          <w:rFonts w:ascii="Arial" w:hAnsi="Arial" w:cs="Arial"/>
          <w:b/>
          <w:bCs/>
        </w:rPr>
        <w:t>Formulario de Compromiso de Confidencialidad y Uso de Información.</w:t>
      </w:r>
    </w:p>
    <w:p w14:paraId="457DCA75" w14:textId="77777777" w:rsidR="00014B13" w:rsidRPr="00441290" w:rsidRDefault="00014B13" w:rsidP="00441290">
      <w:pPr>
        <w:numPr>
          <w:ilvl w:val="0"/>
          <w:numId w:val="9"/>
        </w:numPr>
        <w:jc w:val="both"/>
        <w:rPr>
          <w:rFonts w:ascii="Arial" w:hAnsi="Arial" w:cs="Arial"/>
        </w:rPr>
      </w:pPr>
      <w:r w:rsidRPr="00441290">
        <w:rPr>
          <w:rFonts w:ascii="Arial" w:hAnsi="Arial" w:cs="Arial"/>
        </w:rPr>
        <w:t>Esta declaración será actualizada de manera anual o siempre que surja un cambio en las funciones del personal.</w:t>
      </w:r>
    </w:p>
    <w:p w14:paraId="05CCC7F2" w14:textId="0B42C5D3" w:rsidR="00014B13" w:rsidRPr="00441290" w:rsidRDefault="00014B13" w:rsidP="00441290">
      <w:pPr>
        <w:pStyle w:val="ListParagraph"/>
        <w:numPr>
          <w:ilvl w:val="1"/>
          <w:numId w:val="3"/>
        </w:numPr>
        <w:rPr>
          <w:rFonts w:ascii="Arial" w:hAnsi="Arial" w:cs="Arial"/>
        </w:rPr>
      </w:pPr>
      <w:r w:rsidRPr="00441290">
        <w:rPr>
          <w:rFonts w:ascii="Arial" w:hAnsi="Arial" w:cs="Arial"/>
          <w:b/>
          <w:bCs/>
        </w:rPr>
        <w:t>Manejo y Protección de la Información Sensible</w:t>
      </w:r>
    </w:p>
    <w:p w14:paraId="1C1F2F6F" w14:textId="77777777" w:rsidR="00014B13" w:rsidRPr="00441290" w:rsidRDefault="00014B13" w:rsidP="00441290">
      <w:pPr>
        <w:numPr>
          <w:ilvl w:val="0"/>
          <w:numId w:val="10"/>
        </w:numPr>
        <w:jc w:val="both"/>
        <w:rPr>
          <w:rFonts w:ascii="Arial" w:hAnsi="Arial" w:cs="Arial"/>
        </w:rPr>
      </w:pPr>
      <w:r w:rsidRPr="00441290">
        <w:rPr>
          <w:rFonts w:ascii="Arial" w:hAnsi="Arial" w:cs="Arial"/>
        </w:rPr>
        <w:t xml:space="preserve">Durante los trabajos de auditoría, se deberá clasificar la información recopilada según su nivel de sensibilidad y documentarla en el </w:t>
      </w:r>
      <w:r w:rsidRPr="00441290">
        <w:rPr>
          <w:rFonts w:ascii="Arial" w:hAnsi="Arial" w:cs="Arial"/>
          <w:b/>
          <w:bCs/>
        </w:rPr>
        <w:t>Formulario de Clasificación de Información Confidencial</w:t>
      </w:r>
      <w:r w:rsidRPr="00441290">
        <w:rPr>
          <w:rFonts w:ascii="Arial" w:hAnsi="Arial" w:cs="Arial"/>
        </w:rPr>
        <w:t>.</w:t>
      </w:r>
    </w:p>
    <w:p w14:paraId="736B88B7" w14:textId="6C0E90E7" w:rsidR="00014B13" w:rsidRPr="00441290" w:rsidRDefault="00014B13" w:rsidP="00441290">
      <w:pPr>
        <w:numPr>
          <w:ilvl w:val="0"/>
          <w:numId w:val="10"/>
        </w:numPr>
        <w:jc w:val="both"/>
        <w:rPr>
          <w:rFonts w:ascii="Arial" w:hAnsi="Arial" w:cs="Arial"/>
        </w:rPr>
      </w:pPr>
      <w:r w:rsidRPr="00441290">
        <w:rPr>
          <w:rFonts w:ascii="Arial" w:hAnsi="Arial" w:cs="Arial"/>
        </w:rPr>
        <w:t xml:space="preserve">Los auditores deberán emplear </w:t>
      </w:r>
      <w:r w:rsidR="00543AE5" w:rsidRPr="00441290">
        <w:rPr>
          <w:rFonts w:ascii="Arial" w:hAnsi="Arial" w:cs="Arial"/>
        </w:rPr>
        <w:t xml:space="preserve">medidas como: </w:t>
      </w:r>
      <w:r w:rsidRPr="00441290">
        <w:rPr>
          <w:rFonts w:ascii="Arial" w:hAnsi="Arial" w:cs="Arial"/>
        </w:rPr>
        <w:t>contraseñas, sistemas de encriptación y controles de acceso según los lineamientos establecidos para garantizar la seguridad de la información.</w:t>
      </w:r>
    </w:p>
    <w:p w14:paraId="7F68DB0C" w14:textId="1833F1B9" w:rsidR="00014B13" w:rsidRPr="00441290" w:rsidRDefault="00014B13" w:rsidP="00441290">
      <w:pPr>
        <w:pStyle w:val="ListParagraph"/>
        <w:numPr>
          <w:ilvl w:val="1"/>
          <w:numId w:val="3"/>
        </w:numPr>
        <w:rPr>
          <w:rFonts w:ascii="Arial" w:hAnsi="Arial" w:cs="Arial"/>
        </w:rPr>
      </w:pPr>
      <w:r w:rsidRPr="00441290">
        <w:rPr>
          <w:rFonts w:ascii="Arial" w:hAnsi="Arial" w:cs="Arial"/>
          <w:b/>
          <w:bCs/>
        </w:rPr>
        <w:t>Reporte de Incidentes Relacionados con la Información</w:t>
      </w:r>
    </w:p>
    <w:p w14:paraId="74A86440" w14:textId="77777777" w:rsidR="00014B13" w:rsidRPr="00441290" w:rsidRDefault="00014B13" w:rsidP="00441290">
      <w:pPr>
        <w:numPr>
          <w:ilvl w:val="0"/>
          <w:numId w:val="11"/>
        </w:numPr>
        <w:jc w:val="both"/>
        <w:rPr>
          <w:rFonts w:ascii="Arial" w:hAnsi="Arial" w:cs="Arial"/>
        </w:rPr>
      </w:pPr>
      <w:r w:rsidRPr="00441290">
        <w:rPr>
          <w:rFonts w:ascii="Arial" w:hAnsi="Arial" w:cs="Arial"/>
        </w:rPr>
        <w:t xml:space="preserve">En caso de pérdida, mal manejo o acceso no autorizado a información confidencial, el auditor deberá completar el </w:t>
      </w:r>
      <w:r w:rsidRPr="00441290">
        <w:rPr>
          <w:rFonts w:ascii="Arial" w:hAnsi="Arial" w:cs="Arial"/>
          <w:b/>
          <w:bCs/>
        </w:rPr>
        <w:t>Formulario de Reporte de Incidente de Confidencialidad</w:t>
      </w:r>
      <w:r w:rsidRPr="00441290">
        <w:rPr>
          <w:rFonts w:ascii="Arial" w:hAnsi="Arial" w:cs="Arial"/>
        </w:rPr>
        <w:t xml:space="preserve"> y notificar de inmediato al Jefe de Auditoría.</w:t>
      </w:r>
    </w:p>
    <w:p w14:paraId="7B1AE60E" w14:textId="77777777" w:rsidR="00014B13" w:rsidRPr="00441290" w:rsidRDefault="00014B13" w:rsidP="00441290">
      <w:pPr>
        <w:numPr>
          <w:ilvl w:val="0"/>
          <w:numId w:val="11"/>
        </w:numPr>
        <w:jc w:val="both"/>
        <w:rPr>
          <w:rFonts w:ascii="Arial" w:hAnsi="Arial" w:cs="Arial"/>
        </w:rPr>
      </w:pPr>
      <w:r w:rsidRPr="00441290">
        <w:rPr>
          <w:rFonts w:ascii="Arial" w:hAnsi="Arial" w:cs="Arial"/>
        </w:rPr>
        <w:lastRenderedPageBreak/>
        <w:t>El Jefe de Auditoría gestionará la investigación y documentará las medidas correctivas aplicadas.</w:t>
      </w:r>
    </w:p>
    <w:p w14:paraId="51F89C33" w14:textId="4B7F0614" w:rsidR="00014B13" w:rsidRPr="00441290" w:rsidRDefault="006910B5" w:rsidP="00441290">
      <w:pPr>
        <w:pStyle w:val="ListParagraph"/>
        <w:numPr>
          <w:ilvl w:val="1"/>
          <w:numId w:val="4"/>
        </w:numPr>
        <w:jc w:val="both"/>
        <w:rPr>
          <w:rFonts w:ascii="Arial" w:hAnsi="Arial" w:cs="Arial"/>
        </w:rPr>
      </w:pPr>
      <w:r w:rsidRPr="00441290">
        <w:rPr>
          <w:rFonts w:ascii="Arial" w:hAnsi="Arial" w:cs="Arial"/>
          <w:b/>
          <w:bCs/>
        </w:rPr>
        <w:t xml:space="preserve">    </w:t>
      </w:r>
      <w:r w:rsidR="00014B13" w:rsidRPr="00441290">
        <w:rPr>
          <w:rFonts w:ascii="Arial" w:hAnsi="Arial" w:cs="Arial"/>
          <w:b/>
          <w:bCs/>
        </w:rPr>
        <w:t>Supervisión y Verificación de Cumplimiento</w:t>
      </w:r>
    </w:p>
    <w:p w14:paraId="498D26C5" w14:textId="77777777" w:rsidR="00014B13" w:rsidRPr="00441290" w:rsidRDefault="00014B13" w:rsidP="00441290">
      <w:pPr>
        <w:numPr>
          <w:ilvl w:val="0"/>
          <w:numId w:val="12"/>
        </w:numPr>
        <w:jc w:val="both"/>
        <w:rPr>
          <w:rFonts w:ascii="Arial" w:hAnsi="Arial" w:cs="Arial"/>
        </w:rPr>
      </w:pPr>
      <w:r w:rsidRPr="00441290">
        <w:rPr>
          <w:rFonts w:ascii="Arial" w:hAnsi="Arial" w:cs="Arial"/>
        </w:rPr>
        <w:t xml:space="preserve">El Supervisor revisará de manera periódica el cumplimiento de las medidas de confidencialidad y los controles aplicados, utilizando el </w:t>
      </w:r>
      <w:r w:rsidRPr="00441290">
        <w:rPr>
          <w:rFonts w:ascii="Arial" w:hAnsi="Arial" w:cs="Arial"/>
          <w:b/>
          <w:bCs/>
        </w:rPr>
        <w:t>Formulario de Supervisión de Cumplimiento de Confidencialidad</w:t>
      </w:r>
      <w:r w:rsidRPr="00441290">
        <w:rPr>
          <w:rFonts w:ascii="Arial" w:hAnsi="Arial" w:cs="Arial"/>
        </w:rPr>
        <w:t>.</w:t>
      </w:r>
    </w:p>
    <w:p w14:paraId="47153007" w14:textId="77777777" w:rsidR="00014B13" w:rsidRPr="00441290" w:rsidRDefault="00014B13" w:rsidP="00441290">
      <w:pPr>
        <w:numPr>
          <w:ilvl w:val="0"/>
          <w:numId w:val="12"/>
        </w:numPr>
        <w:jc w:val="both"/>
        <w:rPr>
          <w:rFonts w:ascii="Arial" w:hAnsi="Arial" w:cs="Arial"/>
        </w:rPr>
      </w:pPr>
      <w:r w:rsidRPr="00441290">
        <w:rPr>
          <w:rFonts w:ascii="Arial" w:hAnsi="Arial" w:cs="Arial"/>
        </w:rPr>
        <w:t>Este formulario debe incluir observaciones, irregularidades detectadas y acciones correctivas realizadas.</w:t>
      </w:r>
    </w:p>
    <w:p w14:paraId="12E05BEE" w14:textId="08059D9B" w:rsidR="00014B13" w:rsidRPr="00441290" w:rsidRDefault="00014B13" w:rsidP="00441290">
      <w:pPr>
        <w:pStyle w:val="ListParagraph"/>
        <w:numPr>
          <w:ilvl w:val="1"/>
          <w:numId w:val="5"/>
        </w:numPr>
        <w:jc w:val="both"/>
        <w:rPr>
          <w:rFonts w:ascii="Arial" w:hAnsi="Arial" w:cs="Arial"/>
        </w:rPr>
      </w:pPr>
      <w:r w:rsidRPr="00441290">
        <w:rPr>
          <w:rFonts w:ascii="Arial" w:hAnsi="Arial" w:cs="Arial"/>
          <w:b/>
          <w:bCs/>
        </w:rPr>
        <w:t>Capacitación y Actualización</w:t>
      </w:r>
    </w:p>
    <w:p w14:paraId="443375B4" w14:textId="77777777" w:rsidR="00014B13" w:rsidRPr="00441290" w:rsidRDefault="00014B13" w:rsidP="00441290">
      <w:pPr>
        <w:numPr>
          <w:ilvl w:val="0"/>
          <w:numId w:val="13"/>
        </w:numPr>
        <w:jc w:val="both"/>
        <w:rPr>
          <w:rFonts w:ascii="Arial" w:hAnsi="Arial" w:cs="Arial"/>
        </w:rPr>
      </w:pPr>
      <w:r w:rsidRPr="00441290">
        <w:rPr>
          <w:rFonts w:ascii="Arial" w:hAnsi="Arial" w:cs="Arial"/>
        </w:rPr>
        <w:t>El Jefe de Auditoría planificará capacitaciones anuales sobre confidencialidad, seguridad de la información y manejo de datos sensibles.</w:t>
      </w:r>
    </w:p>
    <w:p w14:paraId="053755BB" w14:textId="77777777" w:rsidR="00014B13" w:rsidRPr="00441290" w:rsidRDefault="00014B13" w:rsidP="00441290">
      <w:pPr>
        <w:numPr>
          <w:ilvl w:val="0"/>
          <w:numId w:val="13"/>
        </w:numPr>
        <w:jc w:val="both"/>
        <w:rPr>
          <w:rFonts w:ascii="Arial" w:hAnsi="Arial" w:cs="Arial"/>
        </w:rPr>
      </w:pPr>
      <w:r w:rsidRPr="00441290">
        <w:rPr>
          <w:rFonts w:ascii="Arial" w:hAnsi="Arial" w:cs="Arial"/>
        </w:rPr>
        <w:t xml:space="preserve">La asistencia a las capacitaciones será registrada en el </w:t>
      </w:r>
      <w:r w:rsidRPr="00441290">
        <w:rPr>
          <w:rFonts w:ascii="Arial" w:hAnsi="Arial" w:cs="Arial"/>
          <w:b/>
          <w:bCs/>
        </w:rPr>
        <w:t>Formulario de Registro de Capacitación en Confidencialidad</w:t>
      </w:r>
      <w:r w:rsidRPr="00441290">
        <w:rPr>
          <w:rFonts w:ascii="Arial" w:hAnsi="Arial" w:cs="Arial"/>
        </w:rPr>
        <w:t>.</w:t>
      </w:r>
    </w:p>
    <w:p w14:paraId="36E0AA85" w14:textId="186B62C9" w:rsidR="00014B13" w:rsidRPr="00441290" w:rsidRDefault="00014B13" w:rsidP="00441290">
      <w:pPr>
        <w:pStyle w:val="ListParagraph"/>
        <w:numPr>
          <w:ilvl w:val="1"/>
          <w:numId w:val="5"/>
        </w:numPr>
        <w:jc w:val="both"/>
        <w:rPr>
          <w:rFonts w:ascii="Arial" w:hAnsi="Arial" w:cs="Arial"/>
        </w:rPr>
      </w:pPr>
      <w:r w:rsidRPr="00441290">
        <w:rPr>
          <w:rFonts w:ascii="Arial" w:hAnsi="Arial" w:cs="Arial"/>
          <w:b/>
          <w:bCs/>
        </w:rPr>
        <w:t>Evaluación y Mejora Continua</w:t>
      </w:r>
    </w:p>
    <w:p w14:paraId="63FA8402" w14:textId="01FCF415" w:rsidR="00014B13" w:rsidRPr="00441290" w:rsidRDefault="00014B13" w:rsidP="00441290">
      <w:pPr>
        <w:numPr>
          <w:ilvl w:val="0"/>
          <w:numId w:val="14"/>
        </w:numPr>
        <w:jc w:val="both"/>
        <w:rPr>
          <w:rFonts w:ascii="Arial" w:hAnsi="Arial" w:cs="Arial"/>
        </w:rPr>
      </w:pPr>
      <w:r w:rsidRPr="00441290">
        <w:rPr>
          <w:rFonts w:ascii="Arial" w:hAnsi="Arial" w:cs="Arial"/>
        </w:rPr>
        <w:t xml:space="preserve">Al final de cada periodo anual, se completará el </w:t>
      </w:r>
      <w:r w:rsidRPr="00441290">
        <w:rPr>
          <w:rFonts w:ascii="Arial" w:hAnsi="Arial" w:cs="Arial"/>
          <w:b/>
          <w:bCs/>
        </w:rPr>
        <w:t>Formulario de Evaluación de Cumplimiento de Confidencialidad</w:t>
      </w:r>
      <w:r w:rsidRPr="00441290">
        <w:rPr>
          <w:rFonts w:ascii="Arial" w:hAnsi="Arial" w:cs="Arial"/>
        </w:rPr>
        <w:t xml:space="preserve">, donde se analizarán los resultados de </w:t>
      </w:r>
      <w:r w:rsidR="00956725" w:rsidRPr="00441290">
        <w:rPr>
          <w:rFonts w:ascii="Arial" w:hAnsi="Arial" w:cs="Arial"/>
        </w:rPr>
        <w:t xml:space="preserve">los trabajos de </w:t>
      </w:r>
      <w:r w:rsidRPr="00441290">
        <w:rPr>
          <w:rFonts w:ascii="Arial" w:hAnsi="Arial" w:cs="Arial"/>
        </w:rPr>
        <w:t>auditoría interna, retroalimentación de incidentes y áreas de mejora.</w:t>
      </w:r>
    </w:p>
    <w:p w14:paraId="077086C1" w14:textId="77777777" w:rsidR="00024856" w:rsidRPr="00441290" w:rsidRDefault="00014B13" w:rsidP="00441290">
      <w:pPr>
        <w:numPr>
          <w:ilvl w:val="0"/>
          <w:numId w:val="14"/>
        </w:numPr>
        <w:rPr>
          <w:rFonts w:ascii="Arial" w:hAnsi="Arial" w:cs="Arial"/>
        </w:rPr>
      </w:pPr>
      <w:r w:rsidRPr="00441290">
        <w:rPr>
          <w:rFonts w:ascii="Arial" w:hAnsi="Arial" w:cs="Arial"/>
        </w:rPr>
        <w:t>Este análisis será usado para actualizar y fortalecer el procedimiento y los controles aplicados.</w:t>
      </w:r>
    </w:p>
    <w:p w14:paraId="0DC0EB5C" w14:textId="0C5CBD6F" w:rsidR="00024856" w:rsidRPr="00441290" w:rsidRDefault="00024856" w:rsidP="00441290">
      <w:pPr>
        <w:rPr>
          <w:rFonts w:ascii="Arial" w:hAnsi="Arial" w:cs="Arial"/>
        </w:rPr>
      </w:pPr>
      <w:r w:rsidRPr="00441290">
        <w:rPr>
          <w:rFonts w:ascii="Arial" w:eastAsia="Calibri" w:hAnsi="Arial" w:cs="Arial"/>
          <w:b/>
          <w:bCs/>
        </w:rPr>
        <w:t xml:space="preserve">5.8. </w:t>
      </w:r>
      <w:r w:rsidRPr="00441290">
        <w:rPr>
          <w:rFonts w:ascii="Arial" w:hAnsi="Arial" w:cs="Arial"/>
          <w:b/>
          <w:lang w:val="es-ES"/>
        </w:rPr>
        <w:t xml:space="preserve"> </w:t>
      </w:r>
      <w:r w:rsidRPr="00441290">
        <w:rPr>
          <w:rFonts w:ascii="Arial" w:eastAsia="Times New Roman" w:hAnsi="Arial" w:cs="Arial"/>
          <w:b/>
          <w:lang w:eastAsia="es-CL"/>
        </w:rPr>
        <w:t>Aprobación y Actualización</w:t>
      </w:r>
    </w:p>
    <w:p w14:paraId="785B36A9" w14:textId="48CB6AAB" w:rsidR="00D760EE" w:rsidRPr="00441290" w:rsidRDefault="00D760EE" w:rsidP="00441290">
      <w:pPr>
        <w:spacing w:after="0" w:line="240" w:lineRule="auto"/>
        <w:jc w:val="both"/>
        <w:rPr>
          <w:rFonts w:ascii="Arial" w:hAnsi="Arial" w:cs="Arial"/>
          <w:b/>
          <w:lang w:val="es-ES"/>
        </w:rPr>
      </w:pPr>
      <w:r w:rsidRPr="00441290">
        <w:rPr>
          <w:rFonts w:ascii="Arial" w:eastAsia="Times New Roman" w:hAnsi="Arial" w:cs="Arial"/>
          <w:lang w:eastAsia="es-CL"/>
        </w:rPr>
        <w:t>Este procedimiento</w:t>
      </w:r>
      <w:r w:rsidR="00C56366" w:rsidRPr="00441290">
        <w:rPr>
          <w:rFonts w:ascii="Arial" w:eastAsia="Times New Roman" w:hAnsi="Arial" w:cs="Arial"/>
          <w:lang w:eastAsia="es-CL"/>
        </w:rPr>
        <w:t xml:space="preserve"> es</w:t>
      </w:r>
      <w:r w:rsidRPr="00441290">
        <w:rPr>
          <w:rFonts w:ascii="Arial" w:eastAsia="Times New Roman" w:hAnsi="Arial" w:cs="Arial"/>
          <w:lang w:eastAsia="es-CL"/>
        </w:rPr>
        <w:t xml:space="preserve">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5E4CD905" w14:textId="77777777" w:rsidR="00D760EE" w:rsidRPr="00441290" w:rsidRDefault="00D760EE" w:rsidP="00441290">
      <w:pPr>
        <w:spacing w:after="0" w:line="240" w:lineRule="auto"/>
        <w:ind w:left="-567"/>
        <w:jc w:val="both"/>
        <w:rPr>
          <w:rFonts w:ascii="Arial" w:hAnsi="Arial" w:cs="Arial"/>
          <w:bCs/>
        </w:rPr>
      </w:pPr>
    </w:p>
    <w:p w14:paraId="452E76BF" w14:textId="77777777" w:rsidR="00D760EE" w:rsidRPr="00441290" w:rsidRDefault="00D760EE" w:rsidP="00441290">
      <w:pPr>
        <w:spacing w:after="0" w:line="240" w:lineRule="auto"/>
        <w:jc w:val="both"/>
        <w:rPr>
          <w:rFonts w:ascii="Arial" w:eastAsia="Calibri" w:hAnsi="Arial" w:cs="Arial"/>
          <w:lang w:val="es-ES"/>
        </w:rPr>
      </w:pPr>
      <w:r w:rsidRPr="00441290">
        <w:rPr>
          <w:rFonts w:ascii="Arial" w:eastAsia="Times New Roman" w:hAnsi="Arial" w:cs="Arial"/>
          <w:lang w:eastAsia="es-CL"/>
        </w:rPr>
        <w:t xml:space="preserve">El Jefe de Auditoría será responsable de su revisión y actualización, asegurando su continua alineación con las Normas Globales de Auditoría Interna y los lineamientos sobre la materia definidos por el </w:t>
      </w:r>
      <w:bookmarkStart w:id="0" w:name="_Hlk191880986"/>
      <w:r w:rsidRPr="00441290">
        <w:rPr>
          <w:rFonts w:ascii="Arial" w:eastAsia="Times New Roman" w:hAnsi="Arial" w:cs="Arial"/>
          <w:lang w:eastAsia="es-CL"/>
        </w:rPr>
        <w:t xml:space="preserve">Consejo de Auditoría Interna General de Gobierno (CAIGG) o por el </w:t>
      </w:r>
      <w:r w:rsidRPr="00441290">
        <w:rPr>
          <w:rFonts w:ascii="Arial" w:eastAsia="Calibri" w:hAnsi="Arial" w:cs="Arial"/>
          <w:lang w:val="es-ES"/>
        </w:rPr>
        <w:t>Servicio de Auditoría Interna de Gobierno (SAIG).</w:t>
      </w:r>
    </w:p>
    <w:p w14:paraId="51CCECE9" w14:textId="77777777" w:rsidR="00D760EE" w:rsidRPr="00441290" w:rsidRDefault="00D760EE" w:rsidP="00441290">
      <w:pPr>
        <w:spacing w:after="0" w:line="240" w:lineRule="auto"/>
        <w:jc w:val="both"/>
        <w:rPr>
          <w:rFonts w:ascii="Arial" w:hAnsi="Arial" w:cs="Arial"/>
          <w:bCs/>
          <w:lang w:val="es-ES"/>
        </w:rPr>
      </w:pPr>
    </w:p>
    <w:bookmarkEnd w:id="0"/>
    <w:p w14:paraId="4C8C9151" w14:textId="77777777" w:rsidR="002629AB" w:rsidRDefault="00C83D97" w:rsidP="002629AB">
      <w:pPr>
        <w:spacing w:line="240" w:lineRule="auto"/>
        <w:jc w:val="both"/>
        <w:rPr>
          <w:rFonts w:ascii="Arial" w:hAnsi="Arial" w:cs="Arial"/>
          <w:b/>
          <w:bCs/>
          <w:lang w:val="es-ES"/>
        </w:rPr>
      </w:pPr>
      <w:r w:rsidRPr="007F1C1B">
        <w:rPr>
          <w:rFonts w:ascii="Arial" w:hAnsi="Arial" w:cs="Arial"/>
          <w:b/>
          <w:bCs/>
          <w:lang w:val="es-ES"/>
        </w:rPr>
        <w:t xml:space="preserve">6. INDICADORES </w:t>
      </w:r>
      <w:r>
        <w:rPr>
          <w:rFonts w:ascii="Arial" w:hAnsi="Arial" w:cs="Arial"/>
          <w:b/>
          <w:bCs/>
          <w:lang w:val="es-ES"/>
        </w:rPr>
        <w:t xml:space="preserve">CLAVE </w:t>
      </w:r>
      <w:r w:rsidRPr="007F1C1B">
        <w:rPr>
          <w:rFonts w:ascii="Arial" w:hAnsi="Arial" w:cs="Arial"/>
          <w:b/>
          <w:bCs/>
          <w:lang w:val="es-ES"/>
        </w:rPr>
        <w:t>DE DESEMPEÑO</w:t>
      </w:r>
      <w:r w:rsidR="002629AB">
        <w:rPr>
          <w:rFonts w:ascii="Arial" w:hAnsi="Arial" w:cs="Arial"/>
          <w:b/>
          <w:bCs/>
          <w:lang w:val="es-ES"/>
        </w:rPr>
        <w:t xml:space="preserve"> (MEDIDAS DE DESEMPEÑO)</w:t>
      </w:r>
    </w:p>
    <w:p w14:paraId="0C680427"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0D73FFDF"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362BCE3A" w14:textId="77777777" w:rsidR="008E5C9C" w:rsidRPr="00441290" w:rsidRDefault="008E5C9C" w:rsidP="008E5C9C">
      <w:pPr>
        <w:spacing w:after="120"/>
        <w:jc w:val="both"/>
        <w:rPr>
          <w:rFonts w:ascii="Arial" w:hAnsi="Arial" w:cs="Arial"/>
          <w:lang w:val="es-ES"/>
        </w:rPr>
      </w:pPr>
      <w:r w:rsidRPr="008E5C9C">
        <w:rPr>
          <w:rFonts w:ascii="Arial" w:hAnsi="Arial" w:cs="Arial"/>
          <w:lang w:val="es-ES"/>
        </w:rPr>
        <w:t>El período durante el cual se recopilarán y analizarán los datos de los indicadores clave de desempeño será de xx (</w:t>
      </w:r>
      <w:r w:rsidRPr="00441290">
        <w:rPr>
          <w:rFonts w:ascii="Arial" w:hAnsi="Arial" w:cs="Arial"/>
          <w:lang w:val="es-ES"/>
        </w:rPr>
        <w:t xml:space="preserve">mensual, trimestral, semestral o anual, según las metas de la función de auditoría interna y los ciclos de evaluación establecidos en la planificación estratégica). Los resultados deberán ser informados al Jefe de Servicio dentro de un plazo de xx (mensual, trimestral, semestral o anual). </w:t>
      </w:r>
    </w:p>
    <w:p w14:paraId="2D2D2C0B" w14:textId="7980A7B8" w:rsidR="002A3184" w:rsidRDefault="008E5C9C" w:rsidP="002A3184">
      <w:pPr>
        <w:spacing w:after="120"/>
        <w:jc w:val="both"/>
        <w:rPr>
          <w:rFonts w:ascii="Arial" w:hAnsi="Arial" w:cs="Arial"/>
          <w:b/>
          <w:bCs/>
          <w:lang w:val="es-ES"/>
        </w:rPr>
      </w:pPr>
      <w:r w:rsidRPr="00441290">
        <w:rPr>
          <w:rFonts w:ascii="Arial" w:hAnsi="Arial" w:cs="Arial"/>
          <w:lang w:val="es-ES"/>
        </w:rPr>
        <w:t xml:space="preserve">Para el registro y reporte de los indicadores clave de desempeño se debe utilizar el </w:t>
      </w:r>
      <w:r w:rsidR="00122912" w:rsidRPr="00441290">
        <w:rPr>
          <w:rFonts w:ascii="Arial" w:hAnsi="Arial" w:cs="Arial"/>
          <w:b/>
          <w:bCs/>
          <w:lang w:val="es-ES"/>
        </w:rPr>
        <w:t>Formulario Cumplimiento Indicadores Desempeño</w:t>
      </w:r>
      <w:r w:rsidRPr="00441290">
        <w:rPr>
          <w:rFonts w:ascii="Arial" w:hAnsi="Arial" w:cs="Arial"/>
          <w:b/>
          <w:bCs/>
          <w:lang w:val="es-ES"/>
        </w:rPr>
        <w:t>.</w:t>
      </w:r>
    </w:p>
    <w:p w14:paraId="6DDE01EE" w14:textId="77777777" w:rsidR="00C07190" w:rsidRDefault="00C07190" w:rsidP="002A3184">
      <w:pPr>
        <w:spacing w:after="120"/>
        <w:jc w:val="both"/>
        <w:rPr>
          <w:rFonts w:ascii="Arial" w:hAnsi="Arial" w:cs="Arial"/>
          <w:b/>
          <w:bCs/>
          <w:lang w:val="es-ES"/>
        </w:rPr>
      </w:pPr>
    </w:p>
    <w:p w14:paraId="0DD14316" w14:textId="77777777" w:rsidR="00803932" w:rsidRPr="00441290" w:rsidRDefault="002A3184" w:rsidP="00803932">
      <w:pPr>
        <w:spacing w:before="100" w:beforeAutospacing="1" w:after="100" w:afterAutospacing="1" w:line="240" w:lineRule="auto"/>
        <w:jc w:val="both"/>
        <w:rPr>
          <w:rFonts w:ascii="Arial" w:eastAsia="Times New Roman" w:hAnsi="Arial" w:cs="Arial"/>
          <w:lang w:eastAsia="es-CL"/>
        </w:rPr>
      </w:pPr>
      <w:r w:rsidRPr="00441290">
        <w:rPr>
          <w:rFonts w:ascii="Arial" w:eastAsia="Times New Roman" w:hAnsi="Arial" w:cs="Arial"/>
          <w:lang w:eastAsia="es-CL"/>
        </w:rPr>
        <w:lastRenderedPageBreak/>
        <w:t>Los indicadores clave de desempeño a considerar son los siguientes (la lista no es taxativa):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3"/>
        <w:gridCol w:w="1591"/>
        <w:gridCol w:w="1818"/>
        <w:gridCol w:w="1645"/>
        <w:gridCol w:w="1574"/>
        <w:gridCol w:w="1143"/>
        <w:gridCol w:w="1101"/>
      </w:tblGrid>
      <w:tr w:rsidR="00F6659B" w:rsidRPr="00F6659B" w14:paraId="2C4D0921" w14:textId="77777777" w:rsidTr="00F6659B">
        <w:trPr>
          <w:tblHeader/>
          <w:tblCellSpacing w:w="15" w:type="dxa"/>
        </w:trPr>
        <w:tc>
          <w:tcPr>
            <w:tcW w:w="0" w:type="auto"/>
            <w:shd w:val="clear" w:color="auto" w:fill="0070C0"/>
            <w:vAlign w:val="center"/>
            <w:hideMark/>
          </w:tcPr>
          <w:p w14:paraId="6FB94464" w14:textId="0BD05D9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Áreas Claves de Resultados</w:t>
            </w:r>
          </w:p>
        </w:tc>
        <w:tc>
          <w:tcPr>
            <w:tcW w:w="0" w:type="auto"/>
            <w:shd w:val="clear" w:color="auto" w:fill="0070C0"/>
            <w:vAlign w:val="center"/>
            <w:hideMark/>
          </w:tcPr>
          <w:p w14:paraId="3181B0D5" w14:textId="7777777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Categorías de Desempeño</w:t>
            </w:r>
          </w:p>
        </w:tc>
        <w:tc>
          <w:tcPr>
            <w:tcW w:w="0" w:type="auto"/>
            <w:shd w:val="clear" w:color="auto" w:fill="0070C0"/>
            <w:vAlign w:val="center"/>
            <w:hideMark/>
          </w:tcPr>
          <w:p w14:paraId="5769A2A2" w14:textId="7777777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Objetivos de Desempeño</w:t>
            </w:r>
          </w:p>
        </w:tc>
        <w:tc>
          <w:tcPr>
            <w:tcW w:w="0" w:type="auto"/>
            <w:shd w:val="clear" w:color="auto" w:fill="0070C0"/>
            <w:vAlign w:val="center"/>
            <w:hideMark/>
          </w:tcPr>
          <w:p w14:paraId="0A911718" w14:textId="7777777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Medidas de Desempeño</w:t>
            </w:r>
          </w:p>
        </w:tc>
        <w:tc>
          <w:tcPr>
            <w:tcW w:w="0" w:type="auto"/>
            <w:shd w:val="clear" w:color="auto" w:fill="0070C0"/>
            <w:vAlign w:val="center"/>
            <w:hideMark/>
          </w:tcPr>
          <w:p w14:paraId="7B2F98F4" w14:textId="7777777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Fórmula de Medición</w:t>
            </w:r>
          </w:p>
        </w:tc>
        <w:tc>
          <w:tcPr>
            <w:tcW w:w="0" w:type="auto"/>
            <w:shd w:val="clear" w:color="auto" w:fill="0070C0"/>
            <w:vAlign w:val="center"/>
            <w:hideMark/>
          </w:tcPr>
          <w:p w14:paraId="6C0BD368" w14:textId="7777777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Metas de Desempeño</w:t>
            </w:r>
          </w:p>
        </w:tc>
        <w:tc>
          <w:tcPr>
            <w:tcW w:w="0" w:type="auto"/>
            <w:shd w:val="clear" w:color="auto" w:fill="0070C0"/>
            <w:vAlign w:val="center"/>
            <w:hideMark/>
          </w:tcPr>
          <w:p w14:paraId="1CBA25E8" w14:textId="77777777" w:rsidR="00F6659B" w:rsidRPr="00F6659B" w:rsidRDefault="00F6659B" w:rsidP="00F6659B">
            <w:pPr>
              <w:spacing w:before="100" w:beforeAutospacing="1" w:after="100" w:afterAutospacing="1" w:line="240" w:lineRule="auto"/>
              <w:jc w:val="center"/>
              <w:rPr>
                <w:rFonts w:ascii="Arial" w:eastAsia="Times New Roman" w:hAnsi="Arial" w:cs="Arial"/>
                <w:b/>
                <w:bCs/>
                <w:color w:val="FFFFFF" w:themeColor="background1"/>
                <w:sz w:val="18"/>
                <w:szCs w:val="18"/>
                <w:lang w:eastAsia="es-CL"/>
              </w:rPr>
            </w:pPr>
            <w:r w:rsidRPr="00F6659B">
              <w:rPr>
                <w:rFonts w:ascii="Arial" w:eastAsia="Times New Roman" w:hAnsi="Arial" w:cs="Arial"/>
                <w:b/>
                <w:bCs/>
                <w:color w:val="FFFFFF" w:themeColor="background1"/>
                <w:sz w:val="18"/>
                <w:szCs w:val="18"/>
                <w:lang w:eastAsia="es-CL"/>
              </w:rPr>
              <w:t>Frecuencia de Medición</w:t>
            </w:r>
          </w:p>
        </w:tc>
      </w:tr>
      <w:tr w:rsidR="0002239B" w:rsidRPr="00F6659B" w14:paraId="35057EF7" w14:textId="77777777" w:rsidTr="00F6659B">
        <w:trPr>
          <w:tblCellSpacing w:w="15" w:type="dxa"/>
        </w:trPr>
        <w:tc>
          <w:tcPr>
            <w:tcW w:w="0" w:type="auto"/>
            <w:vMerge w:val="restart"/>
            <w:vAlign w:val="center"/>
            <w:hideMark/>
          </w:tcPr>
          <w:p w14:paraId="2263F448"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b/>
                <w:bCs/>
                <w:sz w:val="18"/>
                <w:szCs w:val="18"/>
                <w:lang w:eastAsia="es-CL"/>
              </w:rPr>
              <w:t>Eficiencia financiera y operativa</w:t>
            </w:r>
          </w:p>
        </w:tc>
        <w:tc>
          <w:tcPr>
            <w:tcW w:w="0" w:type="auto"/>
            <w:vAlign w:val="center"/>
            <w:hideMark/>
          </w:tcPr>
          <w:p w14:paraId="6F9F37F5"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Gestión del cumplimiento de procedimientos internos</w:t>
            </w:r>
          </w:p>
        </w:tc>
        <w:tc>
          <w:tcPr>
            <w:tcW w:w="0" w:type="auto"/>
            <w:vAlign w:val="center"/>
            <w:hideMark/>
          </w:tcPr>
          <w:p w14:paraId="4A32AEFC"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Asegurar que las políticas de confidencialidad sean implementadas de manera eficiente y oportuna</w:t>
            </w:r>
          </w:p>
        </w:tc>
        <w:tc>
          <w:tcPr>
            <w:tcW w:w="0" w:type="auto"/>
            <w:vAlign w:val="center"/>
            <w:hideMark/>
          </w:tcPr>
          <w:p w14:paraId="156FD27D" w14:textId="77777777" w:rsidR="0002239B" w:rsidRPr="001C2944"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1C2944">
              <w:rPr>
                <w:rFonts w:ascii="Arial" w:eastAsia="Times New Roman" w:hAnsi="Arial" w:cs="Arial"/>
                <w:sz w:val="18"/>
                <w:szCs w:val="18"/>
                <w:lang w:eastAsia="es-CL"/>
              </w:rPr>
              <w:t>Porcentaje de declaraciones de compromiso de confidencialidad firmadas a tiempo</w:t>
            </w:r>
          </w:p>
        </w:tc>
        <w:tc>
          <w:tcPr>
            <w:tcW w:w="0" w:type="auto"/>
            <w:vAlign w:val="center"/>
            <w:hideMark/>
          </w:tcPr>
          <w:p w14:paraId="7DEAD02F"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(N° de declaraciones firmadas dentro del plazo / Total de declaraciones requeridas) × 100</w:t>
            </w:r>
          </w:p>
        </w:tc>
        <w:tc>
          <w:tcPr>
            <w:tcW w:w="0" w:type="auto"/>
            <w:vAlign w:val="center"/>
            <w:hideMark/>
          </w:tcPr>
          <w:p w14:paraId="3441A5EB" w14:textId="77777777" w:rsidR="0002239B" w:rsidRPr="00F6659B" w:rsidRDefault="0002239B" w:rsidP="00F665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 95%</w:t>
            </w:r>
          </w:p>
        </w:tc>
        <w:tc>
          <w:tcPr>
            <w:tcW w:w="0" w:type="auto"/>
            <w:vAlign w:val="center"/>
            <w:hideMark/>
          </w:tcPr>
          <w:p w14:paraId="5586F22D" w14:textId="77777777" w:rsidR="0002239B" w:rsidRPr="00F6659B" w:rsidRDefault="0002239B" w:rsidP="00F665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Anual</w:t>
            </w:r>
          </w:p>
        </w:tc>
      </w:tr>
      <w:tr w:rsidR="0002239B" w:rsidRPr="00F6659B" w14:paraId="676FA24C" w14:textId="77777777" w:rsidTr="0002239B">
        <w:trPr>
          <w:tblCellSpacing w:w="15" w:type="dxa"/>
        </w:trPr>
        <w:tc>
          <w:tcPr>
            <w:tcW w:w="0" w:type="auto"/>
            <w:vMerge/>
            <w:vAlign w:val="center"/>
          </w:tcPr>
          <w:p w14:paraId="2EE4A2AC" w14:textId="3BB84445"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hideMark/>
          </w:tcPr>
          <w:p w14:paraId="14416B44"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Cumplimiento con procedimientos internos en tiempos definidos</w:t>
            </w:r>
          </w:p>
        </w:tc>
        <w:tc>
          <w:tcPr>
            <w:tcW w:w="0" w:type="auto"/>
            <w:vAlign w:val="center"/>
            <w:hideMark/>
          </w:tcPr>
          <w:p w14:paraId="2CBCCDD2"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Garantizar que los incidentes de confidencialidad sean atendidos y resueltos en los plazos establecidos</w:t>
            </w:r>
          </w:p>
        </w:tc>
        <w:tc>
          <w:tcPr>
            <w:tcW w:w="0" w:type="auto"/>
            <w:vAlign w:val="center"/>
            <w:hideMark/>
          </w:tcPr>
          <w:p w14:paraId="6230BB04" w14:textId="77777777" w:rsidR="0002239B" w:rsidRPr="001C2944"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1C2944">
              <w:rPr>
                <w:rFonts w:ascii="Arial" w:eastAsia="Times New Roman" w:hAnsi="Arial" w:cs="Arial"/>
                <w:sz w:val="18"/>
                <w:szCs w:val="18"/>
                <w:lang w:eastAsia="es-CL"/>
              </w:rPr>
              <w:t>Porcentaje de incidentes de confidencialidad gestionados dentro del tiempo definido</w:t>
            </w:r>
          </w:p>
        </w:tc>
        <w:tc>
          <w:tcPr>
            <w:tcW w:w="0" w:type="auto"/>
            <w:vAlign w:val="center"/>
            <w:hideMark/>
          </w:tcPr>
          <w:p w14:paraId="02837E78"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(N° de incidentes gestionados a tiempo / Total de incidentes reportados) × 100</w:t>
            </w:r>
          </w:p>
        </w:tc>
        <w:tc>
          <w:tcPr>
            <w:tcW w:w="0" w:type="auto"/>
            <w:vAlign w:val="center"/>
            <w:hideMark/>
          </w:tcPr>
          <w:p w14:paraId="0997784C" w14:textId="77777777" w:rsidR="0002239B" w:rsidRPr="00F6659B" w:rsidRDefault="0002239B" w:rsidP="00F665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 90%</w:t>
            </w:r>
          </w:p>
        </w:tc>
        <w:tc>
          <w:tcPr>
            <w:tcW w:w="0" w:type="auto"/>
            <w:vAlign w:val="center"/>
            <w:hideMark/>
          </w:tcPr>
          <w:p w14:paraId="12EE9FA8" w14:textId="77777777" w:rsidR="0002239B" w:rsidRPr="00F6659B" w:rsidRDefault="0002239B" w:rsidP="00F665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Trimestral</w:t>
            </w:r>
          </w:p>
        </w:tc>
      </w:tr>
      <w:tr w:rsidR="0002239B" w:rsidRPr="00F6659B" w14:paraId="581345CA" w14:textId="77777777" w:rsidTr="00F6659B">
        <w:trPr>
          <w:tblCellSpacing w:w="15" w:type="dxa"/>
        </w:trPr>
        <w:tc>
          <w:tcPr>
            <w:tcW w:w="0" w:type="auto"/>
            <w:vMerge w:val="restart"/>
            <w:vAlign w:val="center"/>
            <w:hideMark/>
          </w:tcPr>
          <w:p w14:paraId="40B229FE"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b/>
                <w:bCs/>
                <w:sz w:val="18"/>
                <w:szCs w:val="18"/>
                <w:lang w:eastAsia="es-CL"/>
              </w:rPr>
              <w:t>Expectativas de los grupos de interés</w:t>
            </w:r>
          </w:p>
        </w:tc>
        <w:tc>
          <w:tcPr>
            <w:tcW w:w="0" w:type="auto"/>
            <w:vAlign w:val="center"/>
            <w:hideMark/>
          </w:tcPr>
          <w:p w14:paraId="0E01D87B"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Protección de la información y cumplimiento de normativas</w:t>
            </w:r>
          </w:p>
        </w:tc>
        <w:tc>
          <w:tcPr>
            <w:tcW w:w="0" w:type="auto"/>
            <w:vAlign w:val="center"/>
            <w:hideMark/>
          </w:tcPr>
          <w:p w14:paraId="77DAAD0A"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Asegurar que la confidencialidad de la información sea respetada en las auditorías internas</w:t>
            </w:r>
          </w:p>
        </w:tc>
        <w:tc>
          <w:tcPr>
            <w:tcW w:w="0" w:type="auto"/>
            <w:vAlign w:val="center"/>
            <w:hideMark/>
          </w:tcPr>
          <w:p w14:paraId="1B2D47FB" w14:textId="77777777" w:rsidR="0002239B" w:rsidRPr="001C2944"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1C2944">
              <w:rPr>
                <w:rFonts w:ascii="Arial" w:eastAsia="Times New Roman" w:hAnsi="Arial" w:cs="Arial"/>
                <w:sz w:val="18"/>
                <w:szCs w:val="18"/>
                <w:lang w:eastAsia="es-CL"/>
              </w:rPr>
              <w:t>Tasa de cumplimiento en la protección de información confidencial</w:t>
            </w:r>
          </w:p>
        </w:tc>
        <w:tc>
          <w:tcPr>
            <w:tcW w:w="0" w:type="auto"/>
            <w:vAlign w:val="center"/>
            <w:hideMark/>
          </w:tcPr>
          <w:p w14:paraId="332F18AA" w14:textId="77777777" w:rsidR="0002239B" w:rsidRPr="00F6659B" w:rsidRDefault="0002239B" w:rsidP="00F665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(N° de auditorías cumplidas sin incidentes / Total de auditorías realizadas) × 100</w:t>
            </w:r>
          </w:p>
        </w:tc>
        <w:tc>
          <w:tcPr>
            <w:tcW w:w="0" w:type="auto"/>
            <w:vAlign w:val="center"/>
            <w:hideMark/>
          </w:tcPr>
          <w:p w14:paraId="30D1F93E" w14:textId="77777777" w:rsidR="0002239B" w:rsidRPr="00F6659B" w:rsidRDefault="0002239B" w:rsidP="00F665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 95%</w:t>
            </w:r>
          </w:p>
        </w:tc>
        <w:tc>
          <w:tcPr>
            <w:tcW w:w="0" w:type="auto"/>
            <w:vAlign w:val="center"/>
            <w:hideMark/>
          </w:tcPr>
          <w:p w14:paraId="02537DF1" w14:textId="77777777" w:rsidR="0002239B" w:rsidRPr="00F6659B" w:rsidRDefault="0002239B" w:rsidP="00F665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Semestral</w:t>
            </w:r>
          </w:p>
        </w:tc>
      </w:tr>
      <w:tr w:rsidR="0002239B" w:rsidRPr="00F6659B" w14:paraId="4EC77264" w14:textId="77777777" w:rsidTr="00F6659B">
        <w:trPr>
          <w:tblCellSpacing w:w="15" w:type="dxa"/>
        </w:trPr>
        <w:tc>
          <w:tcPr>
            <w:tcW w:w="0" w:type="auto"/>
            <w:vMerge/>
            <w:vAlign w:val="center"/>
          </w:tcPr>
          <w:p w14:paraId="25F1BEAC" w14:textId="536EBAEB" w:rsidR="0002239B" w:rsidRPr="00F6659B" w:rsidRDefault="0002239B" w:rsidP="0002239B">
            <w:pPr>
              <w:spacing w:before="100" w:beforeAutospacing="1" w:after="100" w:afterAutospacing="1" w:line="240" w:lineRule="auto"/>
              <w:jc w:val="both"/>
              <w:rPr>
                <w:rFonts w:ascii="Arial" w:eastAsia="Times New Roman" w:hAnsi="Arial" w:cs="Arial"/>
                <w:b/>
                <w:bCs/>
                <w:sz w:val="18"/>
                <w:szCs w:val="18"/>
                <w:lang w:eastAsia="es-CL"/>
              </w:rPr>
            </w:pPr>
          </w:p>
        </w:tc>
        <w:tc>
          <w:tcPr>
            <w:tcW w:w="0" w:type="auto"/>
            <w:vAlign w:val="center"/>
          </w:tcPr>
          <w:p w14:paraId="462C855B" w14:textId="08D1EAE1"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Control y monitoreo de riesgos relacionados con la confidencialidad</w:t>
            </w:r>
          </w:p>
        </w:tc>
        <w:tc>
          <w:tcPr>
            <w:tcW w:w="0" w:type="auto"/>
            <w:vAlign w:val="center"/>
          </w:tcPr>
          <w:p w14:paraId="3504C8BB" w14:textId="782C656B"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Minimizar los incidentes de mal manejo de información en auditoría interna</w:t>
            </w:r>
          </w:p>
        </w:tc>
        <w:tc>
          <w:tcPr>
            <w:tcW w:w="0" w:type="auto"/>
            <w:vAlign w:val="center"/>
          </w:tcPr>
          <w:p w14:paraId="13956B27" w14:textId="5A3BB61A" w:rsidR="0002239B" w:rsidRPr="001C2944"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1C2944">
              <w:rPr>
                <w:rFonts w:ascii="Arial" w:eastAsia="Times New Roman" w:hAnsi="Arial" w:cs="Arial"/>
                <w:sz w:val="18"/>
                <w:szCs w:val="18"/>
                <w:lang w:eastAsia="es-CL"/>
              </w:rPr>
              <w:t>Número de incidentes relacionados con mal manejo de información confidencial</w:t>
            </w:r>
          </w:p>
        </w:tc>
        <w:tc>
          <w:tcPr>
            <w:tcW w:w="0" w:type="auto"/>
            <w:vAlign w:val="center"/>
          </w:tcPr>
          <w:p w14:paraId="663C7A01" w14:textId="3FC5E394"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Conteo de incidentes detectados en el periodo</w:t>
            </w:r>
          </w:p>
        </w:tc>
        <w:tc>
          <w:tcPr>
            <w:tcW w:w="0" w:type="auto"/>
            <w:vAlign w:val="center"/>
          </w:tcPr>
          <w:p w14:paraId="3921531A" w14:textId="25B88054" w:rsidR="0002239B" w:rsidRPr="00F6659B" w:rsidRDefault="0002239B" w:rsidP="000223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 2 incidentes al año</w:t>
            </w:r>
          </w:p>
        </w:tc>
        <w:tc>
          <w:tcPr>
            <w:tcW w:w="0" w:type="auto"/>
            <w:vAlign w:val="center"/>
          </w:tcPr>
          <w:p w14:paraId="4E7DE503" w14:textId="321FEF02" w:rsidR="0002239B" w:rsidRPr="00F6659B" w:rsidRDefault="0002239B" w:rsidP="000223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Anual</w:t>
            </w:r>
          </w:p>
        </w:tc>
      </w:tr>
      <w:tr w:rsidR="0002239B" w:rsidRPr="00F6659B" w14:paraId="520F354D" w14:textId="77777777" w:rsidTr="00F6659B">
        <w:trPr>
          <w:tblCellSpacing w:w="15" w:type="dxa"/>
        </w:trPr>
        <w:tc>
          <w:tcPr>
            <w:tcW w:w="0" w:type="auto"/>
            <w:vAlign w:val="center"/>
            <w:hideMark/>
          </w:tcPr>
          <w:p w14:paraId="76693BE9"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b/>
                <w:bCs/>
                <w:sz w:val="18"/>
                <w:szCs w:val="18"/>
                <w:lang w:eastAsia="es-CL"/>
              </w:rPr>
              <w:t>Necesidades de recursos humanos</w:t>
            </w:r>
          </w:p>
        </w:tc>
        <w:tc>
          <w:tcPr>
            <w:tcW w:w="0" w:type="auto"/>
            <w:vAlign w:val="center"/>
            <w:hideMark/>
          </w:tcPr>
          <w:p w14:paraId="3E2C4F35"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Formación en normativas de confidencialidad y manejo de información</w:t>
            </w:r>
          </w:p>
        </w:tc>
        <w:tc>
          <w:tcPr>
            <w:tcW w:w="0" w:type="auto"/>
            <w:vAlign w:val="center"/>
            <w:hideMark/>
          </w:tcPr>
          <w:p w14:paraId="44E77DF1"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Asegurar que el equipo de auditoría y personal externo cuenten con la capacitación adecuada sobre protección de información</w:t>
            </w:r>
          </w:p>
        </w:tc>
        <w:tc>
          <w:tcPr>
            <w:tcW w:w="0" w:type="auto"/>
            <w:vAlign w:val="center"/>
            <w:hideMark/>
          </w:tcPr>
          <w:p w14:paraId="7FD770A5" w14:textId="77777777" w:rsidR="0002239B" w:rsidRPr="001C2944"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1C2944">
              <w:rPr>
                <w:rFonts w:ascii="Arial" w:eastAsia="Times New Roman" w:hAnsi="Arial" w:cs="Arial"/>
                <w:sz w:val="18"/>
                <w:szCs w:val="18"/>
                <w:lang w:eastAsia="es-CL"/>
              </w:rPr>
              <w:t>Porcentaje de personal capacitado en confidencialidad y protección de información</w:t>
            </w:r>
          </w:p>
        </w:tc>
        <w:tc>
          <w:tcPr>
            <w:tcW w:w="0" w:type="auto"/>
            <w:vAlign w:val="center"/>
            <w:hideMark/>
          </w:tcPr>
          <w:p w14:paraId="070971F1"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(N° de asistentes a capacitaciones / Total de personal requerido) × 100</w:t>
            </w:r>
          </w:p>
        </w:tc>
        <w:tc>
          <w:tcPr>
            <w:tcW w:w="0" w:type="auto"/>
            <w:vAlign w:val="center"/>
            <w:hideMark/>
          </w:tcPr>
          <w:p w14:paraId="1064D1BE" w14:textId="77777777" w:rsidR="0002239B" w:rsidRPr="00F6659B" w:rsidRDefault="0002239B" w:rsidP="000223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100%</w:t>
            </w:r>
          </w:p>
        </w:tc>
        <w:tc>
          <w:tcPr>
            <w:tcW w:w="0" w:type="auto"/>
            <w:vAlign w:val="center"/>
            <w:hideMark/>
          </w:tcPr>
          <w:p w14:paraId="06CF196E" w14:textId="77777777" w:rsidR="0002239B" w:rsidRPr="00F6659B" w:rsidRDefault="0002239B" w:rsidP="000223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Anual</w:t>
            </w:r>
          </w:p>
        </w:tc>
      </w:tr>
      <w:tr w:rsidR="0002239B" w:rsidRPr="00F6659B" w14:paraId="7D2FAD9D" w14:textId="77777777" w:rsidTr="00F6659B">
        <w:trPr>
          <w:tblCellSpacing w:w="15" w:type="dxa"/>
        </w:trPr>
        <w:tc>
          <w:tcPr>
            <w:tcW w:w="0" w:type="auto"/>
            <w:vAlign w:val="center"/>
            <w:hideMark/>
          </w:tcPr>
          <w:p w14:paraId="4036BEB3"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b/>
                <w:bCs/>
                <w:sz w:val="18"/>
                <w:szCs w:val="18"/>
                <w:lang w:eastAsia="es-CL"/>
              </w:rPr>
              <w:t>Eficiencia financiera y operativa</w:t>
            </w:r>
          </w:p>
        </w:tc>
        <w:tc>
          <w:tcPr>
            <w:tcW w:w="0" w:type="auto"/>
            <w:vAlign w:val="center"/>
            <w:hideMark/>
          </w:tcPr>
          <w:p w14:paraId="0F3EB471"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Gestión oportuna de riesgos en confidencialidad</w:t>
            </w:r>
          </w:p>
        </w:tc>
        <w:tc>
          <w:tcPr>
            <w:tcW w:w="0" w:type="auto"/>
            <w:vAlign w:val="center"/>
            <w:hideMark/>
          </w:tcPr>
          <w:p w14:paraId="739D1D9A"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Reducir el tiempo promedio de respuesta y resolución de incidentes de confidencialidad</w:t>
            </w:r>
          </w:p>
        </w:tc>
        <w:tc>
          <w:tcPr>
            <w:tcW w:w="0" w:type="auto"/>
            <w:vAlign w:val="center"/>
            <w:hideMark/>
          </w:tcPr>
          <w:p w14:paraId="6D8592E1" w14:textId="77777777" w:rsidR="0002239B" w:rsidRPr="001C2944"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1C2944">
              <w:rPr>
                <w:rFonts w:ascii="Arial" w:eastAsia="Times New Roman" w:hAnsi="Arial" w:cs="Arial"/>
                <w:sz w:val="18"/>
                <w:szCs w:val="18"/>
                <w:lang w:eastAsia="es-CL"/>
              </w:rPr>
              <w:t>Tiempo promedio de resolución de incidentes de confidencialidad</w:t>
            </w:r>
          </w:p>
        </w:tc>
        <w:tc>
          <w:tcPr>
            <w:tcW w:w="0" w:type="auto"/>
            <w:vAlign w:val="center"/>
            <w:hideMark/>
          </w:tcPr>
          <w:p w14:paraId="3860BE58" w14:textId="77777777" w:rsidR="0002239B" w:rsidRPr="00F6659B" w:rsidRDefault="0002239B" w:rsidP="0002239B">
            <w:pPr>
              <w:spacing w:before="100" w:beforeAutospacing="1" w:after="100" w:afterAutospacing="1" w:line="240" w:lineRule="auto"/>
              <w:jc w:val="both"/>
              <w:rPr>
                <w:rFonts w:ascii="Arial" w:eastAsia="Times New Roman" w:hAnsi="Arial" w:cs="Arial"/>
                <w:sz w:val="18"/>
                <w:szCs w:val="18"/>
                <w:lang w:eastAsia="es-CL"/>
              </w:rPr>
            </w:pPr>
            <w:r w:rsidRPr="00F6659B">
              <w:rPr>
                <w:rFonts w:ascii="Arial" w:eastAsia="Times New Roman" w:hAnsi="Arial" w:cs="Arial"/>
                <w:sz w:val="18"/>
                <w:szCs w:val="18"/>
                <w:lang w:eastAsia="es-CL"/>
              </w:rPr>
              <w:t>(Suma de días para resolver cada incidente / Total de incidentes gestionados)</w:t>
            </w:r>
          </w:p>
        </w:tc>
        <w:tc>
          <w:tcPr>
            <w:tcW w:w="0" w:type="auto"/>
            <w:vAlign w:val="center"/>
            <w:hideMark/>
          </w:tcPr>
          <w:p w14:paraId="72731281" w14:textId="77777777" w:rsidR="0002239B" w:rsidRPr="00F6659B" w:rsidRDefault="0002239B" w:rsidP="000223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 10 días</w:t>
            </w:r>
          </w:p>
        </w:tc>
        <w:tc>
          <w:tcPr>
            <w:tcW w:w="0" w:type="auto"/>
            <w:vAlign w:val="center"/>
            <w:hideMark/>
          </w:tcPr>
          <w:p w14:paraId="4399C537" w14:textId="77777777" w:rsidR="0002239B" w:rsidRPr="00F6659B" w:rsidRDefault="0002239B" w:rsidP="0002239B">
            <w:pPr>
              <w:spacing w:before="100" w:beforeAutospacing="1" w:after="100" w:afterAutospacing="1" w:line="240" w:lineRule="auto"/>
              <w:jc w:val="center"/>
              <w:rPr>
                <w:rFonts w:ascii="Arial" w:eastAsia="Times New Roman" w:hAnsi="Arial" w:cs="Arial"/>
                <w:sz w:val="18"/>
                <w:szCs w:val="18"/>
                <w:lang w:eastAsia="es-CL"/>
              </w:rPr>
            </w:pPr>
            <w:r w:rsidRPr="00F6659B">
              <w:rPr>
                <w:rFonts w:ascii="Arial" w:eastAsia="Times New Roman" w:hAnsi="Arial" w:cs="Arial"/>
                <w:sz w:val="18"/>
                <w:szCs w:val="18"/>
                <w:lang w:eastAsia="es-CL"/>
              </w:rPr>
              <w:t>Trimestral</w:t>
            </w:r>
          </w:p>
        </w:tc>
      </w:tr>
    </w:tbl>
    <w:p w14:paraId="3517A8E8" w14:textId="22892881" w:rsidR="00E75A1F" w:rsidRPr="00B31FF1" w:rsidRDefault="008E5C9C" w:rsidP="00B31FF1">
      <w:pPr>
        <w:spacing w:before="100" w:beforeAutospacing="1" w:after="100" w:afterAutospacing="1" w:line="240" w:lineRule="auto"/>
        <w:jc w:val="both"/>
        <w:outlineLvl w:val="3"/>
        <w:rPr>
          <w:rFonts w:ascii="Arial" w:hAnsi="Arial" w:cs="Arial"/>
          <w:b/>
          <w:color w:val="000000" w:themeColor="text1"/>
          <w:lang w:val="es-ES"/>
        </w:rPr>
      </w:pPr>
      <w:r w:rsidRPr="00B31FF1">
        <w:rPr>
          <w:rFonts w:ascii="Arial" w:hAnsi="Arial" w:cs="Arial"/>
          <w:b/>
          <w:bCs/>
          <w:lang w:val="es-ES"/>
        </w:rPr>
        <w:t>7</w:t>
      </w:r>
      <w:r w:rsidR="00271635" w:rsidRPr="00B31FF1">
        <w:rPr>
          <w:rFonts w:ascii="Arial" w:hAnsi="Arial" w:cs="Arial"/>
          <w:b/>
          <w:bCs/>
          <w:lang w:val="es-ES"/>
        </w:rPr>
        <w:t>. CONSIDERACIONES DE TELETRABAJO</w:t>
      </w:r>
    </w:p>
    <w:p w14:paraId="4973FC7D" w14:textId="6F0F32AA" w:rsidR="00E75A1F" w:rsidRDefault="00E75A1F" w:rsidP="00E75A1F">
      <w:pPr>
        <w:jc w:val="both"/>
        <w:rPr>
          <w:rFonts w:ascii="Arial" w:hAnsi="Arial" w:cs="Arial"/>
          <w:bCs/>
          <w:color w:val="000000" w:themeColor="text1"/>
          <w:lang w:val="es-ES"/>
        </w:rPr>
      </w:pPr>
      <w:r w:rsidRPr="00474866">
        <w:rPr>
          <w:rFonts w:ascii="Arial" w:hAnsi="Arial" w:cs="Arial"/>
          <w:bCs/>
          <w:color w:val="000000" w:themeColor="text1"/>
          <w:lang w:val="es-ES"/>
        </w:rPr>
        <w:t>En el caso de encontrase realizando el trabajo por vía virtual o teletrabajo, los formularios y actas deberán realizarse igualmente, pero su conformidad se otorgará por los medios telemáticos de que se disponga. En caso de no contar con firma electrónica, la conformidad se otorgará mediante un correo electrónico de aprobación y/o forma electrónica simple.</w:t>
      </w:r>
    </w:p>
    <w:p w14:paraId="0A2513AE" w14:textId="0137903F" w:rsidR="00E75A1F" w:rsidRPr="00441290" w:rsidRDefault="008E5C9C" w:rsidP="00441290">
      <w:pPr>
        <w:spacing w:after="120"/>
        <w:jc w:val="both"/>
        <w:rPr>
          <w:rFonts w:ascii="Arial" w:hAnsi="Arial" w:cs="Arial"/>
          <w:b/>
          <w:lang w:val="es-ES"/>
        </w:rPr>
      </w:pPr>
      <w:r w:rsidRPr="00441290">
        <w:rPr>
          <w:rFonts w:ascii="Arial" w:hAnsi="Arial" w:cs="Arial"/>
          <w:b/>
          <w:bCs/>
          <w:lang w:val="es-ES"/>
        </w:rPr>
        <w:t>8</w:t>
      </w:r>
      <w:r w:rsidR="00E75A1F" w:rsidRPr="00441290">
        <w:rPr>
          <w:rFonts w:ascii="Arial" w:hAnsi="Arial" w:cs="Arial"/>
          <w:b/>
          <w:bCs/>
          <w:lang w:val="es-ES"/>
        </w:rPr>
        <w:t>. REGISTRO</w:t>
      </w:r>
    </w:p>
    <w:p w14:paraId="2CAA5FEF" w14:textId="77777777" w:rsidR="00AE32AA" w:rsidRPr="00441290" w:rsidRDefault="00AE32AA" w:rsidP="00441290">
      <w:pPr>
        <w:spacing w:after="0" w:line="240" w:lineRule="auto"/>
        <w:contextualSpacing/>
        <w:jc w:val="both"/>
        <w:rPr>
          <w:rFonts w:ascii="Arial" w:eastAsia="Calibri" w:hAnsi="Arial" w:cs="Arial"/>
          <w:lang w:val="es-ES"/>
        </w:rPr>
      </w:pPr>
      <w:r w:rsidRPr="00441290">
        <w:rPr>
          <w:rFonts w:ascii="Arial" w:eastAsia="Calibri" w:hAnsi="Arial" w:cs="Arial"/>
          <w:lang w:val="es-ES"/>
        </w:rPr>
        <w:t>Los registros derivados de la implementación del procedimiento de formulación del Plan de Desarrollo de Competencias incluirán los formularios utilizados en cada fase, el inventario de competencias, las listas de asistencia a capacitaciones y los reportes de seguimiento y evaluación. Estos documentos serán almacenados en un sistema digital centralizado con acceso restringido. Se conservarán por un período de XX años, tras lo cual serán remitidos al archivo general del Servicio, asegurando el cumplimiento de las normativas vigentes en materia de conservación y seguridad de la información.</w:t>
      </w:r>
    </w:p>
    <w:p w14:paraId="1F2F1EFB" w14:textId="77777777" w:rsidR="00AE32AA" w:rsidRPr="00441290" w:rsidRDefault="00AE32AA" w:rsidP="00441290">
      <w:pPr>
        <w:spacing w:after="0" w:line="240" w:lineRule="auto"/>
        <w:contextualSpacing/>
        <w:jc w:val="both"/>
        <w:rPr>
          <w:rFonts w:ascii="Arial" w:eastAsia="Calibri" w:hAnsi="Arial" w:cs="Arial"/>
          <w:lang w:val="es-ES"/>
        </w:rPr>
      </w:pPr>
    </w:p>
    <w:p w14:paraId="1AF1A6E5" w14:textId="24FFC0B3" w:rsidR="00611609" w:rsidRPr="00441290" w:rsidRDefault="001C2944" w:rsidP="00611609">
      <w:pPr>
        <w:spacing w:after="0" w:line="240" w:lineRule="auto"/>
        <w:contextualSpacing/>
        <w:jc w:val="both"/>
        <w:rPr>
          <w:rFonts w:ascii="Arial" w:hAnsi="Arial" w:cs="Arial"/>
          <w:b/>
          <w:bCs/>
          <w:lang w:val="es-ES"/>
        </w:rPr>
      </w:pPr>
      <w:r w:rsidRPr="001C2944">
        <w:rPr>
          <w:rFonts w:ascii="Arial" w:hAnsi="Arial" w:cs="Arial"/>
        </w:rPr>
        <w:t>En esta materia, es fundamental considerar la legislación y normativa, tanto general como específica, que regula la conservación, transferencia y eliminación de documentos en el Estado.</w:t>
      </w:r>
    </w:p>
    <w:p w14:paraId="373311A7" w14:textId="77777777" w:rsidR="00441290" w:rsidRDefault="00441290" w:rsidP="00441290">
      <w:pPr>
        <w:spacing w:after="120"/>
        <w:jc w:val="both"/>
        <w:rPr>
          <w:rFonts w:ascii="Arial" w:hAnsi="Arial" w:cs="Arial"/>
          <w:b/>
          <w:bCs/>
          <w:lang w:val="es-ES"/>
        </w:rPr>
      </w:pPr>
    </w:p>
    <w:p w14:paraId="762C7AAB" w14:textId="77777777" w:rsidR="001C2944" w:rsidRDefault="001C2944" w:rsidP="00441290">
      <w:pPr>
        <w:spacing w:after="120"/>
        <w:jc w:val="both"/>
        <w:rPr>
          <w:rFonts w:ascii="Arial" w:hAnsi="Arial" w:cs="Arial"/>
          <w:b/>
          <w:bCs/>
          <w:lang w:val="es-ES"/>
        </w:rPr>
      </w:pPr>
    </w:p>
    <w:p w14:paraId="5F97D63B" w14:textId="77777777" w:rsidR="00611609" w:rsidRPr="00441290" w:rsidRDefault="00611609" w:rsidP="00441290">
      <w:pPr>
        <w:spacing w:after="120"/>
        <w:jc w:val="both"/>
        <w:rPr>
          <w:rFonts w:ascii="Arial" w:hAnsi="Arial" w:cs="Arial"/>
          <w:b/>
          <w:bCs/>
          <w:lang w:val="es-ES"/>
        </w:rPr>
      </w:pPr>
    </w:p>
    <w:p w14:paraId="3E1CFB17" w14:textId="112E45A9" w:rsidR="00E75A1F" w:rsidRPr="00441290" w:rsidRDefault="008E5C9C" w:rsidP="00E75A1F">
      <w:pPr>
        <w:spacing w:after="120"/>
        <w:jc w:val="both"/>
        <w:rPr>
          <w:rFonts w:ascii="Arial" w:hAnsi="Arial" w:cs="Arial"/>
          <w:b/>
          <w:lang w:val="es-ES"/>
        </w:rPr>
      </w:pPr>
      <w:r w:rsidRPr="00441290">
        <w:rPr>
          <w:rFonts w:ascii="Arial" w:hAnsi="Arial" w:cs="Arial"/>
          <w:b/>
          <w:bCs/>
          <w:lang w:val="es-ES"/>
        </w:rPr>
        <w:lastRenderedPageBreak/>
        <w:t>9</w:t>
      </w:r>
      <w:r w:rsidR="00E75A1F" w:rsidRPr="00441290">
        <w:rPr>
          <w:rFonts w:ascii="Arial" w:hAnsi="Arial" w:cs="Arial"/>
          <w:b/>
          <w:bCs/>
          <w:lang w:val="es-ES"/>
        </w:rPr>
        <w:t>. LISTA DE DISTRIBUCIÓN</w:t>
      </w:r>
    </w:p>
    <w:p w14:paraId="6BE5D204" w14:textId="0B9B565D" w:rsidR="009F7F9D" w:rsidRPr="00441290" w:rsidRDefault="009F7F9D" w:rsidP="009F7F9D">
      <w:pPr>
        <w:spacing w:after="0" w:line="240" w:lineRule="auto"/>
        <w:jc w:val="both"/>
        <w:rPr>
          <w:rFonts w:ascii="Arial" w:hAnsi="Arial" w:cs="Arial"/>
        </w:rPr>
      </w:pPr>
      <w:r w:rsidRPr="00441290">
        <w:rPr>
          <w:rFonts w:ascii="Arial" w:hAnsi="Arial" w:cs="Arial"/>
        </w:rPr>
        <w:t>Los registros y formularios asociados al procedimiento serán distribuidos de la siguiente manera:</w:t>
      </w:r>
    </w:p>
    <w:p w14:paraId="607B55B4" w14:textId="77777777" w:rsidR="00311674" w:rsidRPr="00441290" w:rsidRDefault="00311674" w:rsidP="009F7F9D">
      <w:pPr>
        <w:spacing w:after="0" w:line="240" w:lineRule="auto"/>
        <w:jc w:val="both"/>
        <w:rPr>
          <w:rFonts w:ascii="Arial" w:hAnsi="Arial" w:cs="Arial"/>
        </w:rPr>
      </w:pPr>
    </w:p>
    <w:p w14:paraId="1A07B96C" w14:textId="77777777" w:rsidR="009F7F9D" w:rsidRPr="00441290" w:rsidRDefault="009F7F9D" w:rsidP="009F7F9D">
      <w:pPr>
        <w:numPr>
          <w:ilvl w:val="0"/>
          <w:numId w:val="24"/>
        </w:numPr>
        <w:spacing w:after="0" w:line="240" w:lineRule="auto"/>
        <w:jc w:val="both"/>
        <w:rPr>
          <w:rFonts w:ascii="Arial" w:hAnsi="Arial" w:cs="Arial"/>
        </w:rPr>
      </w:pPr>
      <w:r w:rsidRPr="00441290">
        <w:rPr>
          <w:rFonts w:ascii="Arial" w:hAnsi="Arial" w:cs="Arial"/>
          <w:b/>
          <w:bCs/>
        </w:rPr>
        <w:t>Jefe de Servicio:</w:t>
      </w:r>
      <w:r w:rsidRPr="00441290">
        <w:rPr>
          <w:rFonts w:ascii="Arial" w:hAnsi="Arial" w:cs="Arial"/>
        </w:rPr>
        <w:t xml:space="preserve"> Reportes anuales de evaluación de cumplimiento y registros de incidentes críticos.</w:t>
      </w:r>
    </w:p>
    <w:p w14:paraId="35612054" w14:textId="77777777" w:rsidR="009F7F9D" w:rsidRPr="00441290" w:rsidRDefault="009F7F9D" w:rsidP="009F7F9D">
      <w:pPr>
        <w:numPr>
          <w:ilvl w:val="0"/>
          <w:numId w:val="24"/>
        </w:numPr>
        <w:spacing w:after="0" w:line="240" w:lineRule="auto"/>
        <w:jc w:val="both"/>
        <w:rPr>
          <w:rFonts w:ascii="Arial" w:hAnsi="Arial" w:cs="Arial"/>
        </w:rPr>
      </w:pPr>
      <w:r w:rsidRPr="00441290">
        <w:rPr>
          <w:rFonts w:ascii="Arial" w:hAnsi="Arial" w:cs="Arial"/>
          <w:b/>
          <w:bCs/>
        </w:rPr>
        <w:t>Jefe de Auditoría:</w:t>
      </w:r>
      <w:r w:rsidRPr="00441290">
        <w:rPr>
          <w:rFonts w:ascii="Arial" w:hAnsi="Arial" w:cs="Arial"/>
        </w:rPr>
        <w:t xml:space="preserve"> Acceso completo a todos los documentos del procedimiento y gestión de incidentes.</w:t>
      </w:r>
    </w:p>
    <w:p w14:paraId="6A2203EA" w14:textId="77777777" w:rsidR="009F7F9D" w:rsidRPr="00441290" w:rsidRDefault="009F7F9D" w:rsidP="009F7F9D">
      <w:pPr>
        <w:numPr>
          <w:ilvl w:val="0"/>
          <w:numId w:val="24"/>
        </w:numPr>
        <w:spacing w:after="0" w:line="240" w:lineRule="auto"/>
        <w:jc w:val="both"/>
        <w:rPr>
          <w:rFonts w:ascii="Arial" w:hAnsi="Arial" w:cs="Arial"/>
        </w:rPr>
      </w:pPr>
      <w:r w:rsidRPr="00441290">
        <w:rPr>
          <w:rFonts w:ascii="Arial" w:hAnsi="Arial" w:cs="Arial"/>
          <w:b/>
          <w:bCs/>
        </w:rPr>
        <w:t>Supervisores:</w:t>
      </w:r>
      <w:r w:rsidRPr="00441290">
        <w:rPr>
          <w:rFonts w:ascii="Arial" w:hAnsi="Arial" w:cs="Arial"/>
        </w:rPr>
        <w:t xml:space="preserve"> Formularios de supervisión y verificación del cumplimiento de confidencialidad.</w:t>
      </w:r>
    </w:p>
    <w:p w14:paraId="35FD1A33" w14:textId="77777777" w:rsidR="009F7F9D" w:rsidRPr="00441290" w:rsidRDefault="009F7F9D" w:rsidP="009F7F9D">
      <w:pPr>
        <w:numPr>
          <w:ilvl w:val="0"/>
          <w:numId w:val="24"/>
        </w:numPr>
        <w:spacing w:after="0" w:line="240" w:lineRule="auto"/>
        <w:jc w:val="both"/>
        <w:rPr>
          <w:rFonts w:ascii="Arial" w:hAnsi="Arial" w:cs="Arial"/>
        </w:rPr>
      </w:pPr>
      <w:r w:rsidRPr="00441290">
        <w:rPr>
          <w:rFonts w:ascii="Arial" w:hAnsi="Arial" w:cs="Arial"/>
          <w:b/>
          <w:bCs/>
        </w:rPr>
        <w:t>Auditores Internos:</w:t>
      </w:r>
      <w:r w:rsidRPr="00441290">
        <w:rPr>
          <w:rFonts w:ascii="Arial" w:hAnsi="Arial" w:cs="Arial"/>
        </w:rPr>
        <w:t xml:space="preserve"> Formularios de entrega y compromiso, registros de capacitación y documentación específica según su rol.</w:t>
      </w:r>
    </w:p>
    <w:p w14:paraId="49E2E979" w14:textId="77777777" w:rsidR="009F7F9D" w:rsidRPr="00441290" w:rsidRDefault="009F7F9D" w:rsidP="009F7F9D">
      <w:pPr>
        <w:numPr>
          <w:ilvl w:val="0"/>
          <w:numId w:val="24"/>
        </w:numPr>
        <w:spacing w:after="0" w:line="240" w:lineRule="auto"/>
        <w:jc w:val="both"/>
        <w:rPr>
          <w:rFonts w:ascii="Arial" w:hAnsi="Arial" w:cs="Arial"/>
        </w:rPr>
      </w:pPr>
      <w:r w:rsidRPr="00441290">
        <w:rPr>
          <w:rFonts w:ascii="Arial" w:hAnsi="Arial" w:cs="Arial"/>
          <w:b/>
          <w:bCs/>
        </w:rPr>
        <w:t>Unidad de Recursos Humanos:</w:t>
      </w:r>
      <w:r w:rsidRPr="00441290">
        <w:rPr>
          <w:rFonts w:ascii="Arial" w:hAnsi="Arial" w:cs="Arial"/>
        </w:rPr>
        <w:t xml:space="preserve"> Registros de capacitaciones y compromisos de confidencialidad del personal.</w:t>
      </w:r>
    </w:p>
    <w:p w14:paraId="2123A3B8" w14:textId="77777777" w:rsidR="009F7F9D" w:rsidRPr="00441290" w:rsidRDefault="009F7F9D" w:rsidP="009F7F9D">
      <w:pPr>
        <w:numPr>
          <w:ilvl w:val="0"/>
          <w:numId w:val="24"/>
        </w:numPr>
        <w:spacing w:after="0" w:line="240" w:lineRule="auto"/>
        <w:jc w:val="both"/>
        <w:rPr>
          <w:rFonts w:ascii="Arial" w:hAnsi="Arial" w:cs="Arial"/>
        </w:rPr>
      </w:pPr>
      <w:r w:rsidRPr="00441290">
        <w:rPr>
          <w:rFonts w:ascii="Arial" w:hAnsi="Arial" w:cs="Arial"/>
          <w:b/>
          <w:bCs/>
        </w:rPr>
        <w:t>Archivo General del Servicio:</w:t>
      </w:r>
      <w:r w:rsidRPr="00441290">
        <w:rPr>
          <w:rFonts w:ascii="Arial" w:hAnsi="Arial" w:cs="Arial"/>
        </w:rPr>
        <w:t xml:space="preserve"> Documentación transferida tras el periodo de almacenamiento digital establecido.</w:t>
      </w:r>
    </w:p>
    <w:p w14:paraId="572DE330" w14:textId="77777777" w:rsidR="001B0815" w:rsidRPr="009F7F9D" w:rsidRDefault="001B0815" w:rsidP="00A538A5">
      <w:pPr>
        <w:spacing w:after="0" w:line="240" w:lineRule="auto"/>
        <w:jc w:val="both"/>
        <w:rPr>
          <w:rFonts w:ascii="Arial" w:hAnsi="Arial" w:cs="Arial"/>
        </w:rPr>
      </w:pPr>
    </w:p>
    <w:p w14:paraId="3143CC33" w14:textId="27DD4546" w:rsidR="00474866" w:rsidRPr="00474866" w:rsidRDefault="008E5C9C" w:rsidP="00A538A5">
      <w:pPr>
        <w:jc w:val="both"/>
        <w:rPr>
          <w:rFonts w:ascii="Arial" w:eastAsia="Calibri" w:hAnsi="Arial" w:cs="Arial"/>
          <w:b/>
        </w:rPr>
      </w:pPr>
      <w:r>
        <w:rPr>
          <w:rFonts w:ascii="Arial" w:eastAsia="Calibri" w:hAnsi="Arial" w:cs="Arial"/>
          <w:b/>
        </w:rPr>
        <w:t>10</w:t>
      </w:r>
      <w:r w:rsidR="00474866" w:rsidRPr="00474866">
        <w:rPr>
          <w:rFonts w:ascii="Arial" w:eastAsia="Calibri" w:hAnsi="Arial" w:cs="Arial"/>
          <w:b/>
        </w:rPr>
        <w:t>. HISTORIAL DE REVISIONES</w:t>
      </w:r>
    </w:p>
    <w:tbl>
      <w:tblPr>
        <w:tblStyle w:val="TableGrid"/>
        <w:tblW w:w="0" w:type="auto"/>
        <w:tblInd w:w="108" w:type="dxa"/>
        <w:tblLook w:val="04A0" w:firstRow="1" w:lastRow="0" w:firstColumn="1" w:lastColumn="0" w:noHBand="0" w:noVBand="1"/>
      </w:tblPr>
      <w:tblGrid>
        <w:gridCol w:w="1924"/>
        <w:gridCol w:w="1161"/>
        <w:gridCol w:w="1276"/>
        <w:gridCol w:w="2126"/>
        <w:gridCol w:w="3578"/>
      </w:tblGrid>
      <w:tr w:rsidR="00474866" w:rsidRPr="00474866" w14:paraId="481932F9" w14:textId="77777777" w:rsidTr="00CE771C">
        <w:tc>
          <w:tcPr>
            <w:tcW w:w="1924" w:type="dxa"/>
            <w:shd w:val="clear" w:color="auto" w:fill="0070C0"/>
            <w:vAlign w:val="center"/>
          </w:tcPr>
          <w:p w14:paraId="10FD9653"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Antecedente</w:t>
            </w:r>
          </w:p>
        </w:tc>
        <w:tc>
          <w:tcPr>
            <w:tcW w:w="1161" w:type="dxa"/>
            <w:shd w:val="clear" w:color="auto" w:fill="0070C0"/>
            <w:vAlign w:val="center"/>
          </w:tcPr>
          <w:p w14:paraId="6B7CA0CD"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Edición</w:t>
            </w:r>
          </w:p>
        </w:tc>
        <w:tc>
          <w:tcPr>
            <w:tcW w:w="1276" w:type="dxa"/>
            <w:shd w:val="clear" w:color="auto" w:fill="0070C0"/>
            <w:vAlign w:val="center"/>
          </w:tcPr>
          <w:p w14:paraId="2731D096"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Fecha</w:t>
            </w:r>
          </w:p>
        </w:tc>
        <w:tc>
          <w:tcPr>
            <w:tcW w:w="2126" w:type="dxa"/>
            <w:shd w:val="clear" w:color="auto" w:fill="0070C0"/>
            <w:vAlign w:val="center"/>
          </w:tcPr>
          <w:p w14:paraId="3D1BC490"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Aprobación final</w:t>
            </w:r>
          </w:p>
        </w:tc>
        <w:tc>
          <w:tcPr>
            <w:tcW w:w="3578" w:type="dxa"/>
            <w:shd w:val="clear" w:color="auto" w:fill="0070C0"/>
            <w:vAlign w:val="center"/>
          </w:tcPr>
          <w:p w14:paraId="6D509962"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Descripción del cambio</w:t>
            </w:r>
          </w:p>
        </w:tc>
      </w:tr>
      <w:tr w:rsidR="00474866" w:rsidRPr="00474866" w14:paraId="6E9A2866" w14:textId="77777777" w:rsidTr="00474866">
        <w:tc>
          <w:tcPr>
            <w:tcW w:w="1924" w:type="dxa"/>
          </w:tcPr>
          <w:p w14:paraId="09C5435E"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Emisión</w:t>
            </w:r>
          </w:p>
        </w:tc>
        <w:tc>
          <w:tcPr>
            <w:tcW w:w="1161" w:type="dxa"/>
            <w:shd w:val="clear" w:color="auto" w:fill="auto"/>
          </w:tcPr>
          <w:p w14:paraId="6FB61682" w14:textId="77777777" w:rsidR="00474866" w:rsidRPr="00474866" w:rsidRDefault="00474866" w:rsidP="00AA6980">
            <w:pPr>
              <w:contextualSpacing/>
              <w:jc w:val="center"/>
              <w:rPr>
                <w:rFonts w:ascii="Arial" w:eastAsia="Calibri" w:hAnsi="Arial" w:cs="Arial"/>
                <w:lang w:val="es-ES"/>
              </w:rPr>
            </w:pPr>
          </w:p>
        </w:tc>
        <w:tc>
          <w:tcPr>
            <w:tcW w:w="1276" w:type="dxa"/>
            <w:shd w:val="clear" w:color="auto" w:fill="auto"/>
          </w:tcPr>
          <w:p w14:paraId="378A5D42" w14:textId="77777777" w:rsidR="00474866" w:rsidRPr="00474866" w:rsidRDefault="00474866" w:rsidP="00AA6980">
            <w:pPr>
              <w:contextualSpacing/>
              <w:jc w:val="center"/>
              <w:rPr>
                <w:rFonts w:ascii="Arial" w:eastAsia="Calibri" w:hAnsi="Arial" w:cs="Arial"/>
                <w:lang w:val="es-ES"/>
              </w:rPr>
            </w:pPr>
          </w:p>
        </w:tc>
        <w:tc>
          <w:tcPr>
            <w:tcW w:w="2126" w:type="dxa"/>
            <w:shd w:val="clear" w:color="auto" w:fill="auto"/>
          </w:tcPr>
          <w:p w14:paraId="52287355" w14:textId="77777777" w:rsidR="00474866" w:rsidRPr="00474866" w:rsidRDefault="00474866" w:rsidP="00AA6980">
            <w:pPr>
              <w:contextualSpacing/>
              <w:jc w:val="center"/>
              <w:rPr>
                <w:rFonts w:ascii="Arial" w:eastAsia="Calibri" w:hAnsi="Arial" w:cs="Arial"/>
                <w:lang w:val="es-ES"/>
              </w:rPr>
            </w:pPr>
          </w:p>
        </w:tc>
        <w:tc>
          <w:tcPr>
            <w:tcW w:w="3578" w:type="dxa"/>
            <w:shd w:val="clear" w:color="auto" w:fill="auto"/>
          </w:tcPr>
          <w:p w14:paraId="74DD7338" w14:textId="77777777" w:rsidR="00474866" w:rsidRPr="00474866" w:rsidRDefault="00474866" w:rsidP="00AA6980">
            <w:pPr>
              <w:contextualSpacing/>
              <w:jc w:val="center"/>
              <w:rPr>
                <w:rFonts w:ascii="Arial" w:eastAsia="Calibri" w:hAnsi="Arial" w:cs="Arial"/>
                <w:lang w:val="es-ES"/>
              </w:rPr>
            </w:pPr>
          </w:p>
        </w:tc>
      </w:tr>
      <w:tr w:rsidR="00474866" w:rsidRPr="00474866" w14:paraId="099E9CB6" w14:textId="77777777" w:rsidTr="00474866">
        <w:tc>
          <w:tcPr>
            <w:tcW w:w="1924" w:type="dxa"/>
          </w:tcPr>
          <w:p w14:paraId="2B0CB10A"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Primera revisión </w:t>
            </w:r>
          </w:p>
        </w:tc>
        <w:tc>
          <w:tcPr>
            <w:tcW w:w="1161" w:type="dxa"/>
          </w:tcPr>
          <w:p w14:paraId="20F09A56" w14:textId="77777777" w:rsidR="00474866" w:rsidRPr="00474866" w:rsidRDefault="00474866" w:rsidP="00AA6980">
            <w:pPr>
              <w:contextualSpacing/>
              <w:jc w:val="both"/>
              <w:rPr>
                <w:rFonts w:ascii="Arial" w:eastAsia="Calibri" w:hAnsi="Arial" w:cs="Arial"/>
                <w:lang w:val="es-ES"/>
              </w:rPr>
            </w:pPr>
          </w:p>
        </w:tc>
        <w:tc>
          <w:tcPr>
            <w:tcW w:w="1276" w:type="dxa"/>
          </w:tcPr>
          <w:p w14:paraId="495D9694" w14:textId="77777777" w:rsidR="00474866" w:rsidRPr="00474866" w:rsidRDefault="00474866" w:rsidP="00AA6980">
            <w:pPr>
              <w:contextualSpacing/>
              <w:jc w:val="both"/>
              <w:rPr>
                <w:rFonts w:ascii="Arial" w:eastAsia="Calibri" w:hAnsi="Arial" w:cs="Arial"/>
                <w:lang w:val="es-ES"/>
              </w:rPr>
            </w:pPr>
          </w:p>
        </w:tc>
        <w:tc>
          <w:tcPr>
            <w:tcW w:w="2126" w:type="dxa"/>
          </w:tcPr>
          <w:p w14:paraId="26669498" w14:textId="77777777" w:rsidR="00474866" w:rsidRPr="00474866" w:rsidRDefault="00474866" w:rsidP="00AA6980">
            <w:pPr>
              <w:contextualSpacing/>
              <w:jc w:val="both"/>
              <w:rPr>
                <w:rFonts w:ascii="Arial" w:eastAsia="Calibri" w:hAnsi="Arial" w:cs="Arial"/>
                <w:lang w:val="es-ES"/>
              </w:rPr>
            </w:pPr>
          </w:p>
        </w:tc>
        <w:tc>
          <w:tcPr>
            <w:tcW w:w="3578" w:type="dxa"/>
          </w:tcPr>
          <w:p w14:paraId="485F431D" w14:textId="77777777" w:rsidR="00474866" w:rsidRPr="00474866" w:rsidRDefault="00474866" w:rsidP="00AA6980">
            <w:pPr>
              <w:contextualSpacing/>
              <w:jc w:val="both"/>
              <w:rPr>
                <w:rFonts w:ascii="Arial" w:eastAsia="Calibri" w:hAnsi="Arial" w:cs="Arial"/>
                <w:lang w:val="es-ES"/>
              </w:rPr>
            </w:pPr>
          </w:p>
        </w:tc>
      </w:tr>
      <w:tr w:rsidR="00474866" w:rsidRPr="00474866" w14:paraId="3245CE20" w14:textId="77777777" w:rsidTr="00474866">
        <w:tc>
          <w:tcPr>
            <w:tcW w:w="1924" w:type="dxa"/>
          </w:tcPr>
          <w:p w14:paraId="24EE982F"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Segunda revisión </w:t>
            </w:r>
          </w:p>
        </w:tc>
        <w:tc>
          <w:tcPr>
            <w:tcW w:w="1161" w:type="dxa"/>
          </w:tcPr>
          <w:p w14:paraId="7051010A" w14:textId="77777777" w:rsidR="00474866" w:rsidRPr="00474866" w:rsidRDefault="00474866" w:rsidP="00AA6980">
            <w:pPr>
              <w:contextualSpacing/>
              <w:jc w:val="both"/>
              <w:rPr>
                <w:rFonts w:ascii="Arial" w:eastAsia="Calibri" w:hAnsi="Arial" w:cs="Arial"/>
                <w:lang w:val="es-ES"/>
              </w:rPr>
            </w:pPr>
          </w:p>
        </w:tc>
        <w:tc>
          <w:tcPr>
            <w:tcW w:w="1276" w:type="dxa"/>
          </w:tcPr>
          <w:p w14:paraId="6EA1BEC9" w14:textId="77777777" w:rsidR="00474866" w:rsidRPr="00474866" w:rsidRDefault="00474866" w:rsidP="00AA6980">
            <w:pPr>
              <w:contextualSpacing/>
              <w:jc w:val="both"/>
              <w:rPr>
                <w:rFonts w:ascii="Arial" w:eastAsia="Calibri" w:hAnsi="Arial" w:cs="Arial"/>
                <w:lang w:val="es-ES"/>
              </w:rPr>
            </w:pPr>
          </w:p>
        </w:tc>
        <w:tc>
          <w:tcPr>
            <w:tcW w:w="2126" w:type="dxa"/>
          </w:tcPr>
          <w:p w14:paraId="4E21236C" w14:textId="77777777" w:rsidR="00474866" w:rsidRPr="00474866" w:rsidRDefault="00474866" w:rsidP="00AA6980">
            <w:pPr>
              <w:contextualSpacing/>
              <w:jc w:val="both"/>
              <w:rPr>
                <w:rFonts w:ascii="Arial" w:eastAsia="Calibri" w:hAnsi="Arial" w:cs="Arial"/>
                <w:lang w:val="es-ES"/>
              </w:rPr>
            </w:pPr>
          </w:p>
        </w:tc>
        <w:tc>
          <w:tcPr>
            <w:tcW w:w="3578" w:type="dxa"/>
          </w:tcPr>
          <w:p w14:paraId="6858D08E" w14:textId="77777777" w:rsidR="00474866" w:rsidRPr="00474866" w:rsidRDefault="00474866" w:rsidP="00AA6980">
            <w:pPr>
              <w:contextualSpacing/>
              <w:jc w:val="both"/>
              <w:rPr>
                <w:rFonts w:ascii="Arial" w:eastAsia="Calibri" w:hAnsi="Arial" w:cs="Arial"/>
                <w:lang w:val="es-ES"/>
              </w:rPr>
            </w:pPr>
          </w:p>
        </w:tc>
      </w:tr>
      <w:tr w:rsidR="00474866" w:rsidRPr="00474866" w14:paraId="6276670C" w14:textId="77777777" w:rsidTr="00474866">
        <w:tc>
          <w:tcPr>
            <w:tcW w:w="1924" w:type="dxa"/>
          </w:tcPr>
          <w:p w14:paraId="3B0162BD"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Tercera revisión</w:t>
            </w:r>
          </w:p>
        </w:tc>
        <w:tc>
          <w:tcPr>
            <w:tcW w:w="1161" w:type="dxa"/>
          </w:tcPr>
          <w:p w14:paraId="3F35C095" w14:textId="77777777" w:rsidR="00474866" w:rsidRPr="00474866" w:rsidRDefault="00474866" w:rsidP="00AA6980">
            <w:pPr>
              <w:contextualSpacing/>
              <w:jc w:val="both"/>
              <w:rPr>
                <w:rFonts w:ascii="Arial" w:eastAsia="Calibri" w:hAnsi="Arial" w:cs="Arial"/>
                <w:lang w:val="es-ES"/>
              </w:rPr>
            </w:pPr>
          </w:p>
        </w:tc>
        <w:tc>
          <w:tcPr>
            <w:tcW w:w="1276" w:type="dxa"/>
          </w:tcPr>
          <w:p w14:paraId="0C29D864" w14:textId="77777777" w:rsidR="00474866" w:rsidRPr="00474866" w:rsidRDefault="00474866" w:rsidP="00AA6980">
            <w:pPr>
              <w:contextualSpacing/>
              <w:jc w:val="both"/>
              <w:rPr>
                <w:rFonts w:ascii="Arial" w:eastAsia="Calibri" w:hAnsi="Arial" w:cs="Arial"/>
                <w:lang w:val="es-ES"/>
              </w:rPr>
            </w:pPr>
          </w:p>
        </w:tc>
        <w:tc>
          <w:tcPr>
            <w:tcW w:w="2126" w:type="dxa"/>
          </w:tcPr>
          <w:p w14:paraId="3C5F3A03" w14:textId="77777777" w:rsidR="00474866" w:rsidRPr="00474866" w:rsidRDefault="00474866" w:rsidP="00AA6980">
            <w:pPr>
              <w:contextualSpacing/>
              <w:jc w:val="both"/>
              <w:rPr>
                <w:rFonts w:ascii="Arial" w:eastAsia="Calibri" w:hAnsi="Arial" w:cs="Arial"/>
                <w:lang w:val="es-ES"/>
              </w:rPr>
            </w:pPr>
          </w:p>
        </w:tc>
        <w:tc>
          <w:tcPr>
            <w:tcW w:w="3578" w:type="dxa"/>
          </w:tcPr>
          <w:p w14:paraId="2C415C15" w14:textId="77777777" w:rsidR="00474866" w:rsidRPr="00474866" w:rsidRDefault="00474866" w:rsidP="00AA6980">
            <w:pPr>
              <w:contextualSpacing/>
              <w:jc w:val="both"/>
              <w:rPr>
                <w:rFonts w:ascii="Arial" w:eastAsia="Calibri" w:hAnsi="Arial" w:cs="Arial"/>
                <w:lang w:val="es-ES"/>
              </w:rPr>
            </w:pPr>
          </w:p>
        </w:tc>
      </w:tr>
      <w:tr w:rsidR="00474866" w:rsidRPr="00474866" w14:paraId="1EDD5E42" w14:textId="77777777" w:rsidTr="00474866">
        <w:tc>
          <w:tcPr>
            <w:tcW w:w="1924" w:type="dxa"/>
          </w:tcPr>
          <w:p w14:paraId="735C13E5"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Cuarta revisión</w:t>
            </w:r>
          </w:p>
        </w:tc>
        <w:tc>
          <w:tcPr>
            <w:tcW w:w="1161" w:type="dxa"/>
          </w:tcPr>
          <w:p w14:paraId="2E741E8B" w14:textId="77777777" w:rsidR="00474866" w:rsidRPr="00474866" w:rsidRDefault="00474866" w:rsidP="00AA6980">
            <w:pPr>
              <w:contextualSpacing/>
              <w:jc w:val="both"/>
              <w:rPr>
                <w:rFonts w:ascii="Arial" w:eastAsia="Calibri" w:hAnsi="Arial" w:cs="Arial"/>
                <w:lang w:val="es-ES"/>
              </w:rPr>
            </w:pPr>
          </w:p>
        </w:tc>
        <w:tc>
          <w:tcPr>
            <w:tcW w:w="1276" w:type="dxa"/>
          </w:tcPr>
          <w:p w14:paraId="37C49922" w14:textId="77777777" w:rsidR="00474866" w:rsidRPr="00474866" w:rsidRDefault="00474866" w:rsidP="00AA6980">
            <w:pPr>
              <w:contextualSpacing/>
              <w:jc w:val="both"/>
              <w:rPr>
                <w:rFonts w:ascii="Arial" w:eastAsia="Calibri" w:hAnsi="Arial" w:cs="Arial"/>
                <w:lang w:val="es-ES"/>
              </w:rPr>
            </w:pPr>
          </w:p>
        </w:tc>
        <w:tc>
          <w:tcPr>
            <w:tcW w:w="2126" w:type="dxa"/>
          </w:tcPr>
          <w:p w14:paraId="0C3370A4" w14:textId="77777777" w:rsidR="00474866" w:rsidRPr="00474866" w:rsidRDefault="00474866" w:rsidP="00AA6980">
            <w:pPr>
              <w:contextualSpacing/>
              <w:jc w:val="both"/>
              <w:rPr>
                <w:rFonts w:ascii="Arial" w:eastAsia="Calibri" w:hAnsi="Arial" w:cs="Arial"/>
                <w:lang w:val="es-ES"/>
              </w:rPr>
            </w:pPr>
          </w:p>
        </w:tc>
        <w:tc>
          <w:tcPr>
            <w:tcW w:w="3578" w:type="dxa"/>
          </w:tcPr>
          <w:p w14:paraId="2C74FB67" w14:textId="77777777" w:rsidR="00474866" w:rsidRPr="00474866" w:rsidRDefault="00474866" w:rsidP="00AA6980">
            <w:pPr>
              <w:contextualSpacing/>
              <w:jc w:val="both"/>
              <w:rPr>
                <w:rFonts w:ascii="Arial" w:eastAsia="Calibri" w:hAnsi="Arial" w:cs="Arial"/>
                <w:lang w:val="es-ES"/>
              </w:rPr>
            </w:pPr>
          </w:p>
        </w:tc>
      </w:tr>
    </w:tbl>
    <w:p w14:paraId="0A690820" w14:textId="77777777" w:rsidR="00357CBB" w:rsidRDefault="00357CBB" w:rsidP="00E75A1F">
      <w:pPr>
        <w:spacing w:line="256" w:lineRule="auto"/>
        <w:contextualSpacing/>
        <w:jc w:val="both"/>
        <w:rPr>
          <w:rFonts w:ascii="Arial" w:eastAsia="Calibri" w:hAnsi="Arial" w:cs="Arial"/>
          <w:b/>
          <w:u w:val="single"/>
          <w:lang w:val="es-ES"/>
        </w:rPr>
      </w:pPr>
    </w:p>
    <w:p w14:paraId="73133C29" w14:textId="77777777" w:rsidR="00357CBB" w:rsidRDefault="00357CBB" w:rsidP="00EA3F4D">
      <w:pPr>
        <w:spacing w:line="256" w:lineRule="auto"/>
        <w:contextualSpacing/>
        <w:jc w:val="center"/>
        <w:rPr>
          <w:rFonts w:ascii="Arial" w:eastAsia="Calibri" w:hAnsi="Arial" w:cs="Arial"/>
          <w:b/>
          <w:u w:val="single"/>
          <w:lang w:val="es-ES"/>
        </w:rPr>
      </w:pPr>
    </w:p>
    <w:p w14:paraId="1119BFF8" w14:textId="77777777" w:rsidR="00262FA6" w:rsidRPr="00474866" w:rsidRDefault="00262FA6" w:rsidP="00262FA6">
      <w:pPr>
        <w:spacing w:line="256" w:lineRule="auto"/>
        <w:contextualSpacing/>
        <w:jc w:val="both"/>
        <w:rPr>
          <w:rFonts w:ascii="Arial" w:eastAsia="Calibri" w:hAnsi="Arial" w:cs="Arial"/>
          <w:b/>
          <w:lang w:val="es-ES"/>
        </w:rPr>
      </w:pPr>
      <w:r>
        <w:rPr>
          <w:rFonts w:ascii="Arial" w:eastAsia="Calibri" w:hAnsi="Arial" w:cs="Arial"/>
          <w:b/>
          <w:lang w:val="es-ES"/>
        </w:rPr>
        <w:t xml:space="preserve">11. </w:t>
      </w:r>
      <w:r w:rsidRPr="00474866">
        <w:rPr>
          <w:rFonts w:ascii="Arial" w:eastAsia="Calibri" w:hAnsi="Arial" w:cs="Arial"/>
          <w:b/>
          <w:lang w:val="es-ES"/>
        </w:rPr>
        <w:t>ANEXOS</w:t>
      </w:r>
    </w:p>
    <w:p w14:paraId="23E63C00" w14:textId="77777777" w:rsidR="00262FA6" w:rsidRPr="00474866" w:rsidRDefault="00262FA6" w:rsidP="00262FA6">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910"/>
        <w:gridCol w:w="8155"/>
      </w:tblGrid>
      <w:tr w:rsidR="00262FA6" w:rsidRPr="00474866" w14:paraId="33457216" w14:textId="77777777" w:rsidTr="00CC3DFC">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52989A99" w14:textId="77777777" w:rsidR="00262FA6" w:rsidRPr="00474866" w:rsidRDefault="00262FA6" w:rsidP="00CC3DFC">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Anexo 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436FCE2D" w14:textId="77777777" w:rsidR="00262FA6" w:rsidRPr="00474866" w:rsidRDefault="00262FA6" w:rsidP="00CC3DFC">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r>
      <w:tr w:rsidR="00262FA6" w:rsidRPr="00474866" w14:paraId="51AE2D15" w14:textId="77777777" w:rsidTr="00CC3DFC">
        <w:trPr>
          <w:trHeight w:val="420"/>
        </w:trPr>
        <w:tc>
          <w:tcPr>
            <w:tcW w:w="949" w:type="pct"/>
            <w:tcBorders>
              <w:top w:val="single" w:sz="4" w:space="0" w:color="auto"/>
              <w:left w:val="single" w:sz="4" w:space="0" w:color="auto"/>
              <w:bottom w:val="single" w:sz="4" w:space="0" w:color="auto"/>
              <w:right w:val="single" w:sz="4" w:space="0" w:color="auto"/>
            </w:tcBorders>
            <w:vAlign w:val="center"/>
          </w:tcPr>
          <w:p w14:paraId="0A367263" w14:textId="77777777" w:rsidR="00262FA6" w:rsidRPr="00474866" w:rsidRDefault="00262FA6" w:rsidP="00CC3DFC">
            <w:pPr>
              <w:jc w:val="center"/>
              <w:rPr>
                <w:rFonts w:ascii="Arial" w:eastAsia="Calibri" w:hAnsi="Arial" w:cs="Arial"/>
                <w:lang w:val="es-ES"/>
              </w:rPr>
            </w:pPr>
            <w:r>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5CF02E0" w14:textId="77777777" w:rsidR="00262FA6" w:rsidRPr="00474866" w:rsidRDefault="00262FA6" w:rsidP="00CC3DFC">
            <w:pPr>
              <w:jc w:val="center"/>
              <w:rPr>
                <w:rFonts w:ascii="Arial" w:eastAsia="Calibri" w:hAnsi="Arial" w:cs="Arial"/>
                <w:lang w:val="es-ES"/>
              </w:rPr>
            </w:pPr>
            <w:r w:rsidRPr="00706E51">
              <w:rPr>
                <w:rFonts w:ascii="Arial" w:eastAsia="Calibri" w:hAnsi="Arial" w:cs="Arial"/>
                <w:lang w:val="es-ES"/>
              </w:rPr>
              <w:t>Formulario Entrega de Procedimiento de Confidencialidad y Protección de la Información</w:t>
            </w:r>
          </w:p>
        </w:tc>
      </w:tr>
      <w:tr w:rsidR="00262FA6" w:rsidRPr="00474866" w14:paraId="1648D2F8" w14:textId="77777777" w:rsidTr="00CC3DFC">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22045313" w14:textId="77777777" w:rsidR="00262FA6" w:rsidRPr="00474866" w:rsidRDefault="00262FA6" w:rsidP="00CC3DFC">
            <w:pPr>
              <w:jc w:val="center"/>
              <w:rPr>
                <w:rFonts w:ascii="Arial" w:eastAsia="Calibri" w:hAnsi="Arial" w:cs="Arial"/>
                <w:lang w:val="es-ES"/>
              </w:rPr>
            </w:pPr>
            <w:r>
              <w:rPr>
                <w:rFonts w:ascii="Arial" w:eastAsia="Calibri" w:hAnsi="Arial" w:cs="Arial"/>
                <w:lang w:val="es-ES"/>
              </w:rPr>
              <w:t>2</w:t>
            </w:r>
          </w:p>
        </w:tc>
        <w:tc>
          <w:tcPr>
            <w:tcW w:w="4051" w:type="pct"/>
            <w:tcBorders>
              <w:top w:val="single" w:sz="4" w:space="0" w:color="auto"/>
              <w:left w:val="single" w:sz="4" w:space="0" w:color="auto"/>
              <w:bottom w:val="single" w:sz="4" w:space="0" w:color="auto"/>
              <w:right w:val="single" w:sz="4" w:space="0" w:color="auto"/>
            </w:tcBorders>
            <w:vAlign w:val="center"/>
          </w:tcPr>
          <w:p w14:paraId="1AF3CE94" w14:textId="77777777" w:rsidR="00262FA6" w:rsidRPr="00474866" w:rsidRDefault="00262FA6" w:rsidP="00CC3DFC">
            <w:pPr>
              <w:jc w:val="center"/>
              <w:rPr>
                <w:rFonts w:ascii="Arial" w:eastAsia="Calibri" w:hAnsi="Arial" w:cs="Arial"/>
                <w:lang w:val="es-ES"/>
              </w:rPr>
            </w:pPr>
            <w:r w:rsidRPr="00706E51">
              <w:rPr>
                <w:rFonts w:ascii="Arial" w:eastAsia="Calibri" w:hAnsi="Arial" w:cs="Arial"/>
                <w:lang w:val="es-ES"/>
              </w:rPr>
              <w:t>Formulario de Compromiso de Confidencialidad y Uso de Información</w:t>
            </w:r>
          </w:p>
        </w:tc>
      </w:tr>
      <w:tr w:rsidR="00262FA6" w:rsidRPr="00474866" w14:paraId="49272AD6" w14:textId="77777777" w:rsidTr="00CC3DFC">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02D22759" w14:textId="77777777" w:rsidR="00262FA6" w:rsidRPr="00474866" w:rsidRDefault="00262FA6" w:rsidP="00CC3DFC">
            <w:pPr>
              <w:jc w:val="center"/>
              <w:rPr>
                <w:rFonts w:ascii="Arial" w:eastAsia="Calibri" w:hAnsi="Arial" w:cs="Arial"/>
                <w:lang w:val="es-ES"/>
              </w:rPr>
            </w:pPr>
            <w:r>
              <w:rPr>
                <w:rFonts w:ascii="Arial" w:eastAsia="Calibri" w:hAnsi="Arial" w:cs="Arial"/>
                <w:lang w:val="es-ES"/>
              </w:rPr>
              <w:t>3</w:t>
            </w:r>
          </w:p>
        </w:tc>
        <w:tc>
          <w:tcPr>
            <w:tcW w:w="4051" w:type="pct"/>
            <w:tcBorders>
              <w:top w:val="single" w:sz="4" w:space="0" w:color="auto"/>
              <w:left w:val="single" w:sz="4" w:space="0" w:color="auto"/>
              <w:bottom w:val="single" w:sz="4" w:space="0" w:color="auto"/>
              <w:right w:val="single" w:sz="4" w:space="0" w:color="auto"/>
            </w:tcBorders>
            <w:vAlign w:val="center"/>
          </w:tcPr>
          <w:p w14:paraId="533C3E19" w14:textId="77777777" w:rsidR="00262FA6" w:rsidRPr="00474866" w:rsidRDefault="00262FA6" w:rsidP="00CC3DFC">
            <w:pPr>
              <w:jc w:val="center"/>
              <w:rPr>
                <w:rFonts w:ascii="Arial" w:eastAsia="Calibri" w:hAnsi="Arial" w:cs="Arial"/>
                <w:lang w:val="es-ES"/>
              </w:rPr>
            </w:pPr>
            <w:r w:rsidRPr="00706E51">
              <w:rPr>
                <w:rFonts w:ascii="Arial" w:eastAsia="Calibri" w:hAnsi="Arial" w:cs="Arial"/>
                <w:lang w:val="es-ES"/>
              </w:rPr>
              <w:t>Formulario de Clasificación de Información Confidencial</w:t>
            </w:r>
          </w:p>
        </w:tc>
      </w:tr>
      <w:tr w:rsidR="00262FA6" w:rsidRPr="00474866" w14:paraId="2B7402F6" w14:textId="77777777" w:rsidTr="00CC3DFC">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7EA337D8" w14:textId="77777777" w:rsidR="00262FA6" w:rsidRPr="00474866" w:rsidRDefault="00262FA6" w:rsidP="00CC3DFC">
            <w:pPr>
              <w:jc w:val="center"/>
              <w:rPr>
                <w:rFonts w:ascii="Arial" w:eastAsia="Calibri" w:hAnsi="Arial" w:cs="Arial"/>
                <w:lang w:val="es-ES"/>
              </w:rPr>
            </w:pPr>
            <w:r>
              <w:rPr>
                <w:rFonts w:ascii="Arial" w:eastAsia="Calibri" w:hAnsi="Arial" w:cs="Arial"/>
                <w:lang w:val="es-ES"/>
              </w:rPr>
              <w:t>4</w:t>
            </w:r>
          </w:p>
        </w:tc>
        <w:tc>
          <w:tcPr>
            <w:tcW w:w="4051" w:type="pct"/>
            <w:tcBorders>
              <w:top w:val="single" w:sz="4" w:space="0" w:color="auto"/>
              <w:left w:val="single" w:sz="4" w:space="0" w:color="auto"/>
              <w:bottom w:val="single" w:sz="4" w:space="0" w:color="auto"/>
              <w:right w:val="single" w:sz="4" w:space="0" w:color="auto"/>
            </w:tcBorders>
            <w:vAlign w:val="center"/>
          </w:tcPr>
          <w:p w14:paraId="56A24D15" w14:textId="77777777" w:rsidR="00262FA6" w:rsidRPr="00474866" w:rsidRDefault="00262FA6" w:rsidP="00CC3DFC">
            <w:pPr>
              <w:jc w:val="center"/>
              <w:rPr>
                <w:rFonts w:ascii="Arial" w:eastAsia="Calibri" w:hAnsi="Arial" w:cs="Arial"/>
                <w:lang w:val="es-ES"/>
              </w:rPr>
            </w:pPr>
            <w:r w:rsidRPr="00706E51">
              <w:rPr>
                <w:rFonts w:ascii="Arial" w:eastAsia="Calibri" w:hAnsi="Arial" w:cs="Arial"/>
                <w:lang w:val="es-ES"/>
              </w:rPr>
              <w:t>Formulario de Reporte de Incidente de Confidencialidad</w:t>
            </w:r>
          </w:p>
        </w:tc>
      </w:tr>
      <w:tr w:rsidR="00262FA6" w:rsidRPr="00474866" w14:paraId="0232B256" w14:textId="77777777" w:rsidTr="00CC3DFC">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1CA2532A" w14:textId="77777777" w:rsidR="00262FA6" w:rsidRPr="00474866" w:rsidRDefault="00262FA6" w:rsidP="00CC3DFC">
            <w:pPr>
              <w:jc w:val="center"/>
              <w:rPr>
                <w:rFonts w:ascii="Arial" w:eastAsia="Calibri" w:hAnsi="Arial" w:cs="Arial"/>
                <w:lang w:val="es-ES"/>
              </w:rPr>
            </w:pPr>
            <w:r>
              <w:rPr>
                <w:rFonts w:ascii="Arial" w:eastAsia="Calibri" w:hAnsi="Arial" w:cs="Arial"/>
                <w:lang w:val="es-ES"/>
              </w:rPr>
              <w:t>5</w:t>
            </w:r>
          </w:p>
        </w:tc>
        <w:tc>
          <w:tcPr>
            <w:tcW w:w="4051" w:type="pct"/>
            <w:tcBorders>
              <w:top w:val="single" w:sz="4" w:space="0" w:color="auto"/>
              <w:left w:val="single" w:sz="4" w:space="0" w:color="auto"/>
              <w:bottom w:val="single" w:sz="4" w:space="0" w:color="auto"/>
              <w:right w:val="single" w:sz="4" w:space="0" w:color="auto"/>
            </w:tcBorders>
            <w:vAlign w:val="center"/>
          </w:tcPr>
          <w:p w14:paraId="1A5D23CA" w14:textId="77777777" w:rsidR="00262FA6" w:rsidRPr="00474866" w:rsidRDefault="00262FA6" w:rsidP="00CC3DFC">
            <w:pPr>
              <w:jc w:val="center"/>
              <w:rPr>
                <w:rFonts w:ascii="Arial" w:eastAsia="Calibri" w:hAnsi="Arial" w:cs="Arial"/>
                <w:lang w:val="es-ES"/>
              </w:rPr>
            </w:pPr>
            <w:r w:rsidRPr="00706E51">
              <w:rPr>
                <w:rFonts w:ascii="Arial" w:eastAsia="Calibri" w:hAnsi="Arial" w:cs="Arial"/>
                <w:lang w:val="es-ES"/>
              </w:rPr>
              <w:t>Formulario de Supervisión de Cumplimiento de Confidencialidad.</w:t>
            </w:r>
          </w:p>
        </w:tc>
      </w:tr>
      <w:tr w:rsidR="00262FA6" w:rsidRPr="00474866" w14:paraId="29B8F8AB" w14:textId="77777777" w:rsidTr="00CC3DFC">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6DF03853" w14:textId="77777777" w:rsidR="00262FA6" w:rsidRDefault="00262FA6" w:rsidP="00CC3DFC">
            <w:pPr>
              <w:jc w:val="center"/>
              <w:rPr>
                <w:rFonts w:ascii="Arial" w:eastAsia="Calibri" w:hAnsi="Arial" w:cs="Arial"/>
                <w:lang w:val="es-ES"/>
              </w:rPr>
            </w:pPr>
            <w:r>
              <w:rPr>
                <w:rFonts w:ascii="Arial" w:eastAsia="Calibri" w:hAnsi="Arial" w:cs="Arial"/>
                <w:lang w:val="es-ES"/>
              </w:rPr>
              <w:t>6</w:t>
            </w:r>
          </w:p>
        </w:tc>
        <w:tc>
          <w:tcPr>
            <w:tcW w:w="4051" w:type="pct"/>
            <w:tcBorders>
              <w:top w:val="single" w:sz="4" w:space="0" w:color="auto"/>
              <w:left w:val="single" w:sz="4" w:space="0" w:color="auto"/>
              <w:bottom w:val="single" w:sz="4" w:space="0" w:color="auto"/>
              <w:right w:val="single" w:sz="4" w:space="0" w:color="auto"/>
            </w:tcBorders>
            <w:vAlign w:val="center"/>
          </w:tcPr>
          <w:p w14:paraId="33ADB301" w14:textId="77777777" w:rsidR="00262FA6" w:rsidRPr="00706E51" w:rsidRDefault="00262FA6" w:rsidP="00CC3DFC">
            <w:pPr>
              <w:jc w:val="center"/>
              <w:rPr>
                <w:rFonts w:ascii="Arial" w:eastAsia="Calibri" w:hAnsi="Arial" w:cs="Arial"/>
                <w:lang w:val="es-ES"/>
              </w:rPr>
            </w:pPr>
            <w:r w:rsidRPr="00706E51">
              <w:rPr>
                <w:rFonts w:ascii="Arial" w:eastAsia="Calibri" w:hAnsi="Arial" w:cs="Arial"/>
                <w:lang w:val="es-ES"/>
              </w:rPr>
              <w:t>Formulario de Registro de Capacitación en Confidencialidad.</w:t>
            </w:r>
          </w:p>
        </w:tc>
      </w:tr>
      <w:tr w:rsidR="00262FA6" w:rsidRPr="00474866" w14:paraId="14723848" w14:textId="77777777" w:rsidTr="00CC3DFC">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382880A7" w14:textId="77777777" w:rsidR="00262FA6" w:rsidRDefault="00262FA6" w:rsidP="00CC3DFC">
            <w:pPr>
              <w:jc w:val="center"/>
              <w:rPr>
                <w:rFonts w:ascii="Arial" w:eastAsia="Calibri" w:hAnsi="Arial" w:cs="Arial"/>
                <w:lang w:val="es-ES"/>
              </w:rPr>
            </w:pPr>
            <w:r>
              <w:rPr>
                <w:rFonts w:ascii="Arial" w:eastAsia="Calibri" w:hAnsi="Arial" w:cs="Arial"/>
                <w:lang w:val="es-ES"/>
              </w:rPr>
              <w:t>7</w:t>
            </w:r>
          </w:p>
        </w:tc>
        <w:tc>
          <w:tcPr>
            <w:tcW w:w="4051" w:type="pct"/>
            <w:tcBorders>
              <w:top w:val="single" w:sz="4" w:space="0" w:color="auto"/>
              <w:left w:val="single" w:sz="4" w:space="0" w:color="auto"/>
              <w:bottom w:val="single" w:sz="4" w:space="0" w:color="auto"/>
              <w:right w:val="single" w:sz="4" w:space="0" w:color="auto"/>
            </w:tcBorders>
            <w:vAlign w:val="center"/>
          </w:tcPr>
          <w:p w14:paraId="04DC59EB" w14:textId="7E6C8BD9" w:rsidR="00262FA6" w:rsidRPr="00706E51" w:rsidRDefault="00262FA6" w:rsidP="00CC3DFC">
            <w:pPr>
              <w:jc w:val="center"/>
              <w:rPr>
                <w:rFonts w:ascii="Arial" w:eastAsia="Calibri" w:hAnsi="Arial" w:cs="Arial"/>
                <w:lang w:val="es-ES"/>
              </w:rPr>
            </w:pPr>
            <w:r w:rsidRPr="00532D8F">
              <w:rPr>
                <w:rFonts w:ascii="Arial" w:eastAsia="Calibri" w:hAnsi="Arial" w:cs="Arial"/>
                <w:lang w:val="es-ES"/>
              </w:rPr>
              <w:t>Formulario de Evaluación de Cumplimiento de Confidencialidad</w:t>
            </w:r>
          </w:p>
        </w:tc>
      </w:tr>
      <w:tr w:rsidR="00262FA6" w:rsidRPr="00474866" w14:paraId="7D095E5B" w14:textId="77777777" w:rsidTr="00CC3DFC">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7CE5E690" w14:textId="77777777" w:rsidR="00262FA6" w:rsidRPr="005C5961" w:rsidRDefault="00262FA6" w:rsidP="00CC3DFC">
            <w:pPr>
              <w:jc w:val="center"/>
              <w:rPr>
                <w:rFonts w:ascii="Arial" w:eastAsia="Calibri" w:hAnsi="Arial" w:cs="Arial"/>
                <w:lang w:val="es-ES"/>
              </w:rPr>
            </w:pPr>
            <w:r>
              <w:rPr>
                <w:rFonts w:ascii="Arial" w:eastAsia="Calibri" w:hAnsi="Arial" w:cs="Arial"/>
                <w:lang w:val="es-ES"/>
              </w:rPr>
              <w:t>8</w:t>
            </w:r>
          </w:p>
        </w:tc>
        <w:tc>
          <w:tcPr>
            <w:tcW w:w="4051" w:type="pct"/>
            <w:tcBorders>
              <w:top w:val="single" w:sz="4" w:space="0" w:color="auto"/>
              <w:left w:val="single" w:sz="4" w:space="0" w:color="auto"/>
              <w:bottom w:val="single" w:sz="4" w:space="0" w:color="auto"/>
              <w:right w:val="single" w:sz="4" w:space="0" w:color="auto"/>
            </w:tcBorders>
            <w:vAlign w:val="center"/>
          </w:tcPr>
          <w:p w14:paraId="1ACB1C4C" w14:textId="423C1CE8" w:rsidR="00262FA6" w:rsidRPr="005C5961" w:rsidRDefault="000230BF" w:rsidP="00CC3DFC">
            <w:pPr>
              <w:jc w:val="center"/>
              <w:rPr>
                <w:rFonts w:ascii="Arial" w:eastAsia="Calibri" w:hAnsi="Arial" w:cs="Arial"/>
                <w:lang w:val="es-ES"/>
              </w:rPr>
            </w:pPr>
            <w:r w:rsidRPr="000230BF">
              <w:rPr>
                <w:rFonts w:ascii="Arial" w:eastAsia="Calibri" w:hAnsi="Arial" w:cs="Arial"/>
                <w:lang w:val="es-ES"/>
              </w:rPr>
              <w:t>Formulario Cumplimiento Indicadores Desempeño</w:t>
            </w:r>
            <w:r w:rsidR="00262FA6" w:rsidRPr="005C5961">
              <w:rPr>
                <w:rFonts w:ascii="Arial" w:eastAsia="Calibri" w:hAnsi="Arial" w:cs="Arial"/>
                <w:lang w:val="es-ES"/>
              </w:rPr>
              <w:t>.</w:t>
            </w:r>
          </w:p>
        </w:tc>
      </w:tr>
    </w:tbl>
    <w:p w14:paraId="6B75C596" w14:textId="77777777" w:rsidR="00262FA6" w:rsidRDefault="00262FA6" w:rsidP="00262FA6">
      <w:pPr>
        <w:spacing w:line="256" w:lineRule="auto"/>
        <w:contextualSpacing/>
        <w:jc w:val="both"/>
        <w:rPr>
          <w:rFonts w:ascii="Arial" w:eastAsia="Calibri" w:hAnsi="Arial" w:cs="Arial"/>
          <w:b/>
          <w:u w:val="single"/>
          <w:lang w:val="es-ES"/>
        </w:rPr>
      </w:pPr>
    </w:p>
    <w:p w14:paraId="202A0780" w14:textId="77777777" w:rsidR="00262FA6" w:rsidRDefault="00262FA6" w:rsidP="00262FA6">
      <w:pPr>
        <w:spacing w:line="256" w:lineRule="auto"/>
        <w:contextualSpacing/>
        <w:jc w:val="both"/>
        <w:rPr>
          <w:rFonts w:ascii="Arial" w:eastAsia="Calibri" w:hAnsi="Arial" w:cs="Arial"/>
          <w:b/>
          <w:u w:val="single"/>
          <w:lang w:val="es-ES"/>
        </w:rPr>
      </w:pPr>
    </w:p>
    <w:p w14:paraId="575D5988" w14:textId="77777777" w:rsidR="00262FA6" w:rsidRDefault="00262FA6" w:rsidP="00E75A1F">
      <w:pPr>
        <w:spacing w:line="256" w:lineRule="auto"/>
        <w:contextualSpacing/>
        <w:jc w:val="both"/>
        <w:rPr>
          <w:rFonts w:ascii="Arial" w:eastAsia="Calibri" w:hAnsi="Arial" w:cs="Arial"/>
          <w:b/>
          <w:u w:val="single"/>
          <w:lang w:val="es-ES"/>
        </w:rPr>
      </w:pPr>
    </w:p>
    <w:sectPr w:rsidR="00262FA6" w:rsidSect="00821C34">
      <w:headerReference w:type="even" r:id="rId8"/>
      <w:headerReference w:type="default" r:id="rId9"/>
      <w:footerReference w:type="even" r:id="rId10"/>
      <w:footerReference w:type="default" r:id="rId11"/>
      <w:headerReference w:type="first" r:id="rId12"/>
      <w:footerReference w:type="first" r:id="rId13"/>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6BC7B" w14:textId="77777777" w:rsidR="005F1D1C" w:rsidRDefault="005F1D1C" w:rsidP="0048081F">
      <w:pPr>
        <w:spacing w:after="0" w:line="240" w:lineRule="auto"/>
      </w:pPr>
      <w:r>
        <w:separator/>
      </w:r>
    </w:p>
  </w:endnote>
  <w:endnote w:type="continuationSeparator" w:id="0">
    <w:p w14:paraId="33736A0A" w14:textId="77777777" w:rsidR="005F1D1C" w:rsidRDefault="005F1D1C"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9B6F" w14:textId="77777777" w:rsidR="0071276C" w:rsidRDefault="00712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D20F9CF" w14:textId="77777777" w:rsidR="00474866" w:rsidRPr="00D304E6" w:rsidRDefault="00474866" w:rsidP="00474866">
        <w:pPr>
          <w:pStyle w:val="Footer"/>
          <w:jc w:val="right"/>
          <w:rPr>
            <w:lang w:val="es-ES"/>
          </w:rPr>
        </w:pPr>
        <w:r>
          <w:rPr>
            <w:lang w:val="es-ES"/>
          </w:rPr>
          <w:t xml:space="preserve">Página | </w:t>
        </w:r>
        <w:r>
          <w:fldChar w:fldCharType="begin"/>
        </w:r>
        <w:r>
          <w:instrText>PAGE   \* MERGEFORMAT</w:instrText>
        </w:r>
        <w:r>
          <w:fldChar w:fldCharType="separate"/>
        </w:r>
        <w:r w:rsidR="00271635" w:rsidRPr="00271635">
          <w:rPr>
            <w:noProof/>
            <w:lang w:val="es-ES"/>
          </w:rPr>
          <w:t>6</w:t>
        </w:r>
        <w:r>
          <w:fldChar w:fldCharType="end"/>
        </w:r>
        <w:r>
          <w:rPr>
            <w:lang w:val="es-ES"/>
          </w:rPr>
          <w:t xml:space="preserve"> </w:t>
        </w:r>
      </w:p>
    </w:sdtContent>
  </w:sdt>
  <w:p w14:paraId="640E0908" w14:textId="77777777" w:rsidR="00474866" w:rsidRDefault="004748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38F40" w14:textId="77777777" w:rsidR="0071276C" w:rsidRDefault="00712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2F6D4" w14:textId="77777777" w:rsidR="005F1D1C" w:rsidRDefault="005F1D1C" w:rsidP="0048081F">
      <w:pPr>
        <w:spacing w:after="0" w:line="240" w:lineRule="auto"/>
      </w:pPr>
      <w:r>
        <w:separator/>
      </w:r>
    </w:p>
  </w:footnote>
  <w:footnote w:type="continuationSeparator" w:id="0">
    <w:p w14:paraId="1C49A8B2" w14:textId="77777777" w:rsidR="005F1D1C" w:rsidRDefault="005F1D1C"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E5F0" w14:textId="1E5F9994" w:rsidR="0071276C" w:rsidRDefault="0084548B">
    <w:pPr>
      <w:pStyle w:val="Header"/>
    </w:pPr>
    <w:r>
      <w:rPr>
        <w:noProof/>
      </w:rPr>
      <w:pict w14:anchorId="2DA14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08063"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2457"/>
      <w:gridCol w:w="2550"/>
      <w:gridCol w:w="2061"/>
      <w:gridCol w:w="1661"/>
    </w:tblGrid>
    <w:tr w:rsidR="00550434" w14:paraId="7E292AB5" w14:textId="77777777" w:rsidTr="000C6CEA">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2746651C" w14:textId="2C030EF5" w:rsidR="00550434" w:rsidRDefault="0084548B" w:rsidP="000C6CEA">
          <w:pPr>
            <w:pStyle w:val="Header"/>
            <w:ind w:left="-142" w:right="-109"/>
            <w:jc w:val="center"/>
          </w:pPr>
          <w:r>
            <w:rPr>
              <w:noProof/>
            </w:rPr>
            <w:pict w14:anchorId="52EEBE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08064" o:spid="_x0000_s1027" type="#_x0000_t136" style="position:absolute;left:0;text-align:left;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0C6CEA">
            <w:rPr>
              <w:noProof/>
            </w:rPr>
            <w:drawing>
              <wp:inline distT="0" distB="0" distL="0" distR="0" wp14:anchorId="5DC104D5" wp14:editId="50E33AB7">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21643332" w14:textId="50DC1A56" w:rsidR="00550434" w:rsidRDefault="00550434" w:rsidP="00AA6980">
          <w:pPr>
            <w:pStyle w:val="Header"/>
            <w:jc w:val="center"/>
            <w:rPr>
              <w:rFonts w:ascii="Arial" w:eastAsia="Calibri" w:hAnsi="Arial" w:cs="Arial"/>
              <w:b/>
              <w:lang w:val="es-ES"/>
            </w:rPr>
          </w:pPr>
          <w:r>
            <w:rPr>
              <w:rFonts w:ascii="Arial" w:eastAsia="Calibri" w:hAnsi="Arial" w:cs="Arial"/>
              <w:b/>
              <w:lang w:val="es-ES"/>
            </w:rPr>
            <w:t xml:space="preserve">PROCEDIMIENTO </w:t>
          </w:r>
        </w:p>
        <w:p w14:paraId="499470A4" w14:textId="6F93BB9F" w:rsidR="001C7C97" w:rsidRDefault="00545F96" w:rsidP="00634FBA">
          <w:pPr>
            <w:jc w:val="center"/>
            <w:rPr>
              <w:rFonts w:ascii="Arial" w:eastAsia="Calibri" w:hAnsi="Arial" w:cs="Arial"/>
              <w:b/>
              <w:lang w:val="es-ES"/>
            </w:rPr>
          </w:pPr>
          <w:r>
            <w:rPr>
              <w:rFonts w:ascii="Arial" w:eastAsia="Calibri" w:hAnsi="Arial" w:cs="Arial"/>
              <w:b/>
              <w:lang w:val="es-ES"/>
            </w:rPr>
            <w:t>USO</w:t>
          </w:r>
          <w:r w:rsidR="00CD53A4" w:rsidRPr="00CD53A4">
            <w:rPr>
              <w:rFonts w:ascii="Arial" w:eastAsia="Calibri" w:hAnsi="Arial" w:cs="Arial"/>
              <w:b/>
              <w:lang w:val="es-ES"/>
            </w:rPr>
            <w:t xml:space="preserve"> Y PROTECCIÓN DE LA INFORMACIÓN</w:t>
          </w:r>
        </w:p>
        <w:p w14:paraId="31F41C25" w14:textId="4B021D35" w:rsidR="001C7C97" w:rsidRPr="00A60CEF" w:rsidRDefault="001C7C97" w:rsidP="00AA6980">
          <w:pPr>
            <w:jc w:val="center"/>
            <w:rPr>
              <w:rFonts w:ascii="Arial" w:hAnsi="Arial" w:cs="Arial"/>
              <w:b/>
            </w:rPr>
          </w:pPr>
        </w:p>
      </w:tc>
      <w:tc>
        <w:tcPr>
          <w:tcW w:w="810" w:type="pct"/>
          <w:vMerge w:val="restart"/>
          <w:vAlign w:val="center"/>
          <w:hideMark/>
        </w:tcPr>
        <w:p w14:paraId="7CE87DA5" w14:textId="77777777" w:rsidR="00550434" w:rsidRPr="007A58D1" w:rsidRDefault="00550434" w:rsidP="00AA6980">
          <w:pPr>
            <w:pStyle w:val="Header"/>
            <w:jc w:val="center"/>
          </w:pPr>
          <w:r w:rsidRPr="007A58D1">
            <w:t>Versión: xx</w:t>
          </w:r>
        </w:p>
      </w:tc>
    </w:tr>
    <w:tr w:rsidR="00550434" w14:paraId="3E720DB3" w14:textId="77777777" w:rsidTr="00550434">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0C58670E" w14:textId="77777777" w:rsidR="00550434" w:rsidRDefault="00550434" w:rsidP="00AA6980"/>
      </w:tc>
      <w:tc>
        <w:tcPr>
          <w:tcW w:w="1198" w:type="pct"/>
          <w:tcBorders>
            <w:left w:val="single" w:sz="4" w:space="0" w:color="auto"/>
          </w:tcBorders>
          <w:vAlign w:val="center"/>
          <w:hideMark/>
        </w:tcPr>
        <w:p w14:paraId="36763CF5" w14:textId="77777777" w:rsidR="00550434" w:rsidRPr="007A58D1" w:rsidRDefault="00550434" w:rsidP="00AA6980">
          <w:pPr>
            <w:pStyle w:val="Header"/>
            <w:jc w:val="both"/>
          </w:pPr>
          <w:r>
            <w:t>SERVICIO</w:t>
          </w:r>
          <w:r w:rsidRPr="007A58D1">
            <w:t>:</w:t>
          </w:r>
        </w:p>
      </w:tc>
      <w:tc>
        <w:tcPr>
          <w:tcW w:w="1243" w:type="pct"/>
          <w:tcBorders>
            <w:left w:val="single" w:sz="4" w:space="0" w:color="auto"/>
          </w:tcBorders>
          <w:vAlign w:val="center"/>
        </w:tcPr>
        <w:p w14:paraId="710D57AC" w14:textId="3AE49BAA" w:rsidR="00550434" w:rsidRPr="007A58D1" w:rsidRDefault="00550434" w:rsidP="00AA6980">
          <w:pPr>
            <w:pStyle w:val="Header"/>
            <w:jc w:val="both"/>
          </w:pPr>
          <w:r w:rsidRPr="007A58D1">
            <w:t>CODIGO:</w:t>
          </w:r>
          <w:r w:rsidR="005D3956">
            <w:t xml:space="preserve"> 01</w:t>
          </w:r>
          <w:r w:rsidR="0084548B">
            <w:t>6</w:t>
          </w:r>
        </w:p>
      </w:tc>
      <w:tc>
        <w:tcPr>
          <w:tcW w:w="1005" w:type="pct"/>
          <w:vAlign w:val="center"/>
        </w:tcPr>
        <w:p w14:paraId="27E94511" w14:textId="77777777" w:rsidR="00550434" w:rsidRPr="007A58D1" w:rsidRDefault="00550434" w:rsidP="00AA6980">
          <w:pPr>
            <w:pStyle w:val="Header"/>
            <w:jc w:val="both"/>
          </w:pPr>
          <w:r w:rsidRPr="007A58D1">
            <w:t>VIGENCIA:</w:t>
          </w:r>
        </w:p>
      </w:tc>
      <w:tc>
        <w:tcPr>
          <w:tcW w:w="810" w:type="pct"/>
          <w:vMerge/>
          <w:vAlign w:val="center"/>
          <w:hideMark/>
        </w:tcPr>
        <w:p w14:paraId="3B0B6016" w14:textId="77777777" w:rsidR="00550434" w:rsidRPr="009F6386" w:rsidRDefault="00550434" w:rsidP="00AA6980">
          <w:pPr>
            <w:jc w:val="center"/>
            <w:rPr>
              <w:b/>
            </w:rPr>
          </w:pPr>
        </w:p>
      </w:tc>
    </w:tr>
  </w:tbl>
  <w:p w14:paraId="6D5BD87E" w14:textId="77777777" w:rsidR="00550434" w:rsidRDefault="00550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FD09" w14:textId="61F72916" w:rsidR="0071276C" w:rsidRDefault="0084548B">
    <w:pPr>
      <w:pStyle w:val="Header"/>
    </w:pPr>
    <w:r>
      <w:rPr>
        <w:noProof/>
      </w:rPr>
      <w:pict w14:anchorId="3A5ECD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08062"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55024"/>
    <w:multiLevelType w:val="multilevel"/>
    <w:tmpl w:val="7B5E365C"/>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28C48F3"/>
    <w:multiLevelType w:val="hybridMultilevel"/>
    <w:tmpl w:val="AD8675A0"/>
    <w:lvl w:ilvl="0" w:tplc="340A0003">
      <w:start w:val="1"/>
      <w:numFmt w:val="bullet"/>
      <w:lvlText w:val="o"/>
      <w:lvlJc w:val="left"/>
      <w:pPr>
        <w:ind w:left="1428" w:hanging="360"/>
      </w:pPr>
      <w:rPr>
        <w:rFonts w:ascii="Courier New" w:hAnsi="Courier New" w:cs="Courier New"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2" w15:restartNumberingAfterBreak="0">
    <w:nsid w:val="1CBC085D"/>
    <w:multiLevelType w:val="hybridMultilevel"/>
    <w:tmpl w:val="42E0D9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1AC7E96"/>
    <w:multiLevelType w:val="multilevel"/>
    <w:tmpl w:val="12CC7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87BCD"/>
    <w:multiLevelType w:val="multilevel"/>
    <w:tmpl w:val="16AAC6E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F8716D"/>
    <w:multiLevelType w:val="multilevel"/>
    <w:tmpl w:val="83E8D6DA"/>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CB1320A"/>
    <w:multiLevelType w:val="hybridMultilevel"/>
    <w:tmpl w:val="C34242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DAE3818"/>
    <w:multiLevelType w:val="multilevel"/>
    <w:tmpl w:val="4F38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0D20EE"/>
    <w:multiLevelType w:val="hybridMultilevel"/>
    <w:tmpl w:val="4878885E"/>
    <w:lvl w:ilvl="0" w:tplc="340A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0" w15:restartNumberingAfterBreak="0">
    <w:nsid w:val="318154EA"/>
    <w:multiLevelType w:val="hybridMultilevel"/>
    <w:tmpl w:val="DC3A541A"/>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34696BB3"/>
    <w:multiLevelType w:val="multilevel"/>
    <w:tmpl w:val="649087B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ED77F9"/>
    <w:multiLevelType w:val="multilevel"/>
    <w:tmpl w:val="9FA03862"/>
    <w:lvl w:ilvl="0">
      <w:start w:val="5"/>
      <w:numFmt w:val="decimal"/>
      <w:lvlText w:val="%1."/>
      <w:lvlJc w:val="left"/>
      <w:pPr>
        <w:ind w:left="360" w:hanging="36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F84741A"/>
    <w:multiLevelType w:val="multilevel"/>
    <w:tmpl w:val="1382E17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12374"/>
    <w:multiLevelType w:val="multilevel"/>
    <w:tmpl w:val="FCDE579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C509F6"/>
    <w:multiLevelType w:val="multilevel"/>
    <w:tmpl w:val="A89E2864"/>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E4D1FDF"/>
    <w:multiLevelType w:val="hybridMultilevel"/>
    <w:tmpl w:val="B90C9B4A"/>
    <w:lvl w:ilvl="0" w:tplc="340A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528C1016"/>
    <w:multiLevelType w:val="hybridMultilevel"/>
    <w:tmpl w:val="7A0A4C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8365A64"/>
    <w:multiLevelType w:val="multilevel"/>
    <w:tmpl w:val="691824A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984DE5"/>
    <w:multiLevelType w:val="hybridMultilevel"/>
    <w:tmpl w:val="444A3A6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603C2980"/>
    <w:multiLevelType w:val="hybridMultilevel"/>
    <w:tmpl w:val="B1164810"/>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1" w15:restartNumberingAfterBreak="0">
    <w:nsid w:val="679F194B"/>
    <w:multiLevelType w:val="hybridMultilevel"/>
    <w:tmpl w:val="028C330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6BF859D4"/>
    <w:multiLevelType w:val="multilevel"/>
    <w:tmpl w:val="2C3C3EB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174BA8"/>
    <w:multiLevelType w:val="hybridMultilevel"/>
    <w:tmpl w:val="8680477E"/>
    <w:lvl w:ilvl="0" w:tplc="340A0003">
      <w:start w:val="1"/>
      <w:numFmt w:val="bullet"/>
      <w:lvlText w:val="o"/>
      <w:lvlJc w:val="left"/>
      <w:pPr>
        <w:ind w:left="1428" w:hanging="360"/>
      </w:pPr>
      <w:rPr>
        <w:rFonts w:ascii="Courier New" w:hAnsi="Courier New" w:cs="Courier New"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24" w15:restartNumberingAfterBreak="0">
    <w:nsid w:val="6E3F35B8"/>
    <w:multiLevelType w:val="multilevel"/>
    <w:tmpl w:val="115420C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4D289A"/>
    <w:multiLevelType w:val="hybridMultilevel"/>
    <w:tmpl w:val="D1624038"/>
    <w:lvl w:ilvl="0" w:tplc="340A0003">
      <w:start w:val="1"/>
      <w:numFmt w:val="bullet"/>
      <w:lvlText w:val="o"/>
      <w:lvlJc w:val="left"/>
      <w:pPr>
        <w:ind w:left="1428" w:hanging="360"/>
      </w:pPr>
      <w:rPr>
        <w:rFonts w:ascii="Courier New" w:hAnsi="Courier New" w:cs="Courier New"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num w:numId="1" w16cid:durableId="1727336587">
    <w:abstractNumId w:val="21"/>
  </w:num>
  <w:num w:numId="2" w16cid:durableId="145363939">
    <w:abstractNumId w:val="3"/>
  </w:num>
  <w:num w:numId="3" w16cid:durableId="264118557">
    <w:abstractNumId w:val="6"/>
  </w:num>
  <w:num w:numId="4" w16cid:durableId="1868833910">
    <w:abstractNumId w:val="0"/>
  </w:num>
  <w:num w:numId="5" w16cid:durableId="683436178">
    <w:abstractNumId w:val="12"/>
  </w:num>
  <w:num w:numId="6" w16cid:durableId="2070808061">
    <w:abstractNumId w:val="23"/>
  </w:num>
  <w:num w:numId="7" w16cid:durableId="1908489144">
    <w:abstractNumId w:val="15"/>
  </w:num>
  <w:num w:numId="8" w16cid:durableId="520826949">
    <w:abstractNumId w:val="24"/>
  </w:num>
  <w:num w:numId="9" w16cid:durableId="1163661539">
    <w:abstractNumId w:val="4"/>
  </w:num>
  <w:num w:numId="10" w16cid:durableId="2135513064">
    <w:abstractNumId w:val="18"/>
  </w:num>
  <w:num w:numId="11" w16cid:durableId="1946837556">
    <w:abstractNumId w:val="11"/>
  </w:num>
  <w:num w:numId="12" w16cid:durableId="1444691074">
    <w:abstractNumId w:val="13"/>
  </w:num>
  <w:num w:numId="13" w16cid:durableId="1381171960">
    <w:abstractNumId w:val="22"/>
  </w:num>
  <w:num w:numId="14" w16cid:durableId="1659071024">
    <w:abstractNumId w:val="14"/>
  </w:num>
  <w:num w:numId="15" w16cid:durableId="1831864555">
    <w:abstractNumId w:val="16"/>
  </w:num>
  <w:num w:numId="16" w16cid:durableId="1974215180">
    <w:abstractNumId w:val="20"/>
  </w:num>
  <w:num w:numId="17" w16cid:durableId="1495729976">
    <w:abstractNumId w:val="10"/>
  </w:num>
  <w:num w:numId="18" w16cid:durableId="88239078">
    <w:abstractNumId w:val="9"/>
  </w:num>
  <w:num w:numId="19" w16cid:durableId="2029523187">
    <w:abstractNumId w:val="25"/>
  </w:num>
  <w:num w:numId="20" w16cid:durableId="2115244710">
    <w:abstractNumId w:val="1"/>
  </w:num>
  <w:num w:numId="21" w16cid:durableId="181667477">
    <w:abstractNumId w:val="7"/>
  </w:num>
  <w:num w:numId="22" w16cid:durableId="995911298">
    <w:abstractNumId w:val="17"/>
  </w:num>
  <w:num w:numId="23" w16cid:durableId="2018074202">
    <w:abstractNumId w:val="19"/>
  </w:num>
  <w:num w:numId="24" w16cid:durableId="470833438">
    <w:abstractNumId w:val="8"/>
  </w:num>
  <w:num w:numId="25" w16cid:durableId="1288462480">
    <w:abstractNumId w:val="5"/>
  </w:num>
  <w:num w:numId="26" w16cid:durableId="133040294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940"/>
    <w:rsid w:val="00004BF2"/>
    <w:rsid w:val="00006B54"/>
    <w:rsid w:val="00011B57"/>
    <w:rsid w:val="000120A3"/>
    <w:rsid w:val="00013A41"/>
    <w:rsid w:val="00014177"/>
    <w:rsid w:val="00014B13"/>
    <w:rsid w:val="0002239B"/>
    <w:rsid w:val="0002246E"/>
    <w:rsid w:val="000230BF"/>
    <w:rsid w:val="00024856"/>
    <w:rsid w:val="00025372"/>
    <w:rsid w:val="00025B12"/>
    <w:rsid w:val="00030041"/>
    <w:rsid w:val="00031AEF"/>
    <w:rsid w:val="00032104"/>
    <w:rsid w:val="00035F6E"/>
    <w:rsid w:val="00044B95"/>
    <w:rsid w:val="00051E4D"/>
    <w:rsid w:val="00051F7A"/>
    <w:rsid w:val="00053ED3"/>
    <w:rsid w:val="00053F76"/>
    <w:rsid w:val="00055137"/>
    <w:rsid w:val="00060E28"/>
    <w:rsid w:val="00067FC3"/>
    <w:rsid w:val="00070B2B"/>
    <w:rsid w:val="0007230F"/>
    <w:rsid w:val="00072645"/>
    <w:rsid w:val="00074446"/>
    <w:rsid w:val="00077C0C"/>
    <w:rsid w:val="00080172"/>
    <w:rsid w:val="00081F68"/>
    <w:rsid w:val="00082A7E"/>
    <w:rsid w:val="000A12C4"/>
    <w:rsid w:val="000A4D97"/>
    <w:rsid w:val="000B1039"/>
    <w:rsid w:val="000B2F22"/>
    <w:rsid w:val="000B5FEF"/>
    <w:rsid w:val="000B7B0E"/>
    <w:rsid w:val="000C431A"/>
    <w:rsid w:val="000C53AE"/>
    <w:rsid w:val="000C6CEA"/>
    <w:rsid w:val="000C6E65"/>
    <w:rsid w:val="000C7FC5"/>
    <w:rsid w:val="000D237D"/>
    <w:rsid w:val="000D269A"/>
    <w:rsid w:val="000D77DD"/>
    <w:rsid w:val="000E10B1"/>
    <w:rsid w:val="000E32E6"/>
    <w:rsid w:val="000F04A5"/>
    <w:rsid w:val="000F3591"/>
    <w:rsid w:val="000F3DAA"/>
    <w:rsid w:val="000F41C6"/>
    <w:rsid w:val="000F6EBA"/>
    <w:rsid w:val="0010428B"/>
    <w:rsid w:val="001062A3"/>
    <w:rsid w:val="001100D5"/>
    <w:rsid w:val="001120A2"/>
    <w:rsid w:val="00112721"/>
    <w:rsid w:val="00121235"/>
    <w:rsid w:val="00122912"/>
    <w:rsid w:val="00122CC7"/>
    <w:rsid w:val="0012565A"/>
    <w:rsid w:val="0013268D"/>
    <w:rsid w:val="00135311"/>
    <w:rsid w:val="00140F3C"/>
    <w:rsid w:val="001435D0"/>
    <w:rsid w:val="00151104"/>
    <w:rsid w:val="00161E0B"/>
    <w:rsid w:val="00170572"/>
    <w:rsid w:val="00172348"/>
    <w:rsid w:val="00177E4F"/>
    <w:rsid w:val="00177F19"/>
    <w:rsid w:val="001822F8"/>
    <w:rsid w:val="00192157"/>
    <w:rsid w:val="0019347E"/>
    <w:rsid w:val="00195B46"/>
    <w:rsid w:val="00196298"/>
    <w:rsid w:val="001A3E3F"/>
    <w:rsid w:val="001B0815"/>
    <w:rsid w:val="001B0B80"/>
    <w:rsid w:val="001B3236"/>
    <w:rsid w:val="001B76D5"/>
    <w:rsid w:val="001C0F31"/>
    <w:rsid w:val="001C2944"/>
    <w:rsid w:val="001C2993"/>
    <w:rsid w:val="001C3940"/>
    <w:rsid w:val="001C6C95"/>
    <w:rsid w:val="001C7C97"/>
    <w:rsid w:val="001D2868"/>
    <w:rsid w:val="001D3268"/>
    <w:rsid w:val="001D3B6A"/>
    <w:rsid w:val="001D5F87"/>
    <w:rsid w:val="001E1509"/>
    <w:rsid w:val="001E5E77"/>
    <w:rsid w:val="001F1C06"/>
    <w:rsid w:val="001F347B"/>
    <w:rsid w:val="00200446"/>
    <w:rsid w:val="0020174B"/>
    <w:rsid w:val="00210A1A"/>
    <w:rsid w:val="002119A9"/>
    <w:rsid w:val="002226FF"/>
    <w:rsid w:val="002377D6"/>
    <w:rsid w:val="002463FF"/>
    <w:rsid w:val="002521E2"/>
    <w:rsid w:val="0025792C"/>
    <w:rsid w:val="00260AAC"/>
    <w:rsid w:val="00260AE5"/>
    <w:rsid w:val="002629AB"/>
    <w:rsid w:val="00262FA6"/>
    <w:rsid w:val="0027124C"/>
    <w:rsid w:val="00271635"/>
    <w:rsid w:val="00273164"/>
    <w:rsid w:val="002742AC"/>
    <w:rsid w:val="002851BF"/>
    <w:rsid w:val="002A3184"/>
    <w:rsid w:val="002A4CB4"/>
    <w:rsid w:val="002B4529"/>
    <w:rsid w:val="002C7092"/>
    <w:rsid w:val="002C7489"/>
    <w:rsid w:val="002D1BE4"/>
    <w:rsid w:val="002D3C5B"/>
    <w:rsid w:val="002D40D4"/>
    <w:rsid w:val="002D4CD4"/>
    <w:rsid w:val="002E68B9"/>
    <w:rsid w:val="002E6D04"/>
    <w:rsid w:val="002E6EAE"/>
    <w:rsid w:val="00304331"/>
    <w:rsid w:val="0030725C"/>
    <w:rsid w:val="00311674"/>
    <w:rsid w:val="00311992"/>
    <w:rsid w:val="00321D39"/>
    <w:rsid w:val="00325B75"/>
    <w:rsid w:val="00335250"/>
    <w:rsid w:val="003377B9"/>
    <w:rsid w:val="003418BF"/>
    <w:rsid w:val="0034611A"/>
    <w:rsid w:val="003464C7"/>
    <w:rsid w:val="0035132D"/>
    <w:rsid w:val="00353A72"/>
    <w:rsid w:val="0035596F"/>
    <w:rsid w:val="00357CBB"/>
    <w:rsid w:val="003636DE"/>
    <w:rsid w:val="00370E82"/>
    <w:rsid w:val="00385048"/>
    <w:rsid w:val="003877FD"/>
    <w:rsid w:val="00390BF5"/>
    <w:rsid w:val="003A0D5F"/>
    <w:rsid w:val="003A39B9"/>
    <w:rsid w:val="003A5551"/>
    <w:rsid w:val="003A5B70"/>
    <w:rsid w:val="003A7890"/>
    <w:rsid w:val="003B5A26"/>
    <w:rsid w:val="003B7423"/>
    <w:rsid w:val="003C156F"/>
    <w:rsid w:val="003D220E"/>
    <w:rsid w:val="003D33B9"/>
    <w:rsid w:val="003D4FC2"/>
    <w:rsid w:val="003E2EB8"/>
    <w:rsid w:val="003E37F5"/>
    <w:rsid w:val="003E46BF"/>
    <w:rsid w:val="003F5297"/>
    <w:rsid w:val="004016AA"/>
    <w:rsid w:val="00402D51"/>
    <w:rsid w:val="00404CCD"/>
    <w:rsid w:val="0041208D"/>
    <w:rsid w:val="00417077"/>
    <w:rsid w:val="00417308"/>
    <w:rsid w:val="00421DD6"/>
    <w:rsid w:val="00441290"/>
    <w:rsid w:val="00441666"/>
    <w:rsid w:val="00446ECA"/>
    <w:rsid w:val="00454FB8"/>
    <w:rsid w:val="00463694"/>
    <w:rsid w:val="0047017A"/>
    <w:rsid w:val="00471885"/>
    <w:rsid w:val="00472452"/>
    <w:rsid w:val="00474866"/>
    <w:rsid w:val="004802DC"/>
    <w:rsid w:val="0048081F"/>
    <w:rsid w:val="0048501E"/>
    <w:rsid w:val="00485230"/>
    <w:rsid w:val="00485A8E"/>
    <w:rsid w:val="00487987"/>
    <w:rsid w:val="00493360"/>
    <w:rsid w:val="00496B6D"/>
    <w:rsid w:val="004A1DCB"/>
    <w:rsid w:val="004A4644"/>
    <w:rsid w:val="004B650D"/>
    <w:rsid w:val="004B6AC6"/>
    <w:rsid w:val="004C57CA"/>
    <w:rsid w:val="004E603F"/>
    <w:rsid w:val="00501984"/>
    <w:rsid w:val="0050375F"/>
    <w:rsid w:val="00504768"/>
    <w:rsid w:val="0051305E"/>
    <w:rsid w:val="005166AD"/>
    <w:rsid w:val="00526535"/>
    <w:rsid w:val="00527478"/>
    <w:rsid w:val="00532D8F"/>
    <w:rsid w:val="00537CE3"/>
    <w:rsid w:val="00540852"/>
    <w:rsid w:val="00542E01"/>
    <w:rsid w:val="00543AE5"/>
    <w:rsid w:val="005457A1"/>
    <w:rsid w:val="00545F96"/>
    <w:rsid w:val="00546B70"/>
    <w:rsid w:val="00550434"/>
    <w:rsid w:val="0055596F"/>
    <w:rsid w:val="0055604C"/>
    <w:rsid w:val="005572DB"/>
    <w:rsid w:val="00561331"/>
    <w:rsid w:val="00565D7B"/>
    <w:rsid w:val="0057190B"/>
    <w:rsid w:val="00575A4D"/>
    <w:rsid w:val="005877DA"/>
    <w:rsid w:val="005909E7"/>
    <w:rsid w:val="00595754"/>
    <w:rsid w:val="005A3E43"/>
    <w:rsid w:val="005A41F5"/>
    <w:rsid w:val="005A7372"/>
    <w:rsid w:val="005A7C43"/>
    <w:rsid w:val="005B2F26"/>
    <w:rsid w:val="005C4B0B"/>
    <w:rsid w:val="005C5961"/>
    <w:rsid w:val="005D200E"/>
    <w:rsid w:val="005D3956"/>
    <w:rsid w:val="005D7B2B"/>
    <w:rsid w:val="005E6081"/>
    <w:rsid w:val="005F1D1C"/>
    <w:rsid w:val="005F4DEA"/>
    <w:rsid w:val="005F509D"/>
    <w:rsid w:val="005F6B68"/>
    <w:rsid w:val="0060152C"/>
    <w:rsid w:val="00610FC6"/>
    <w:rsid w:val="00611609"/>
    <w:rsid w:val="00614ADA"/>
    <w:rsid w:val="0062252A"/>
    <w:rsid w:val="00623771"/>
    <w:rsid w:val="0063320C"/>
    <w:rsid w:val="0063356A"/>
    <w:rsid w:val="0063480E"/>
    <w:rsid w:val="00634FBA"/>
    <w:rsid w:val="006374BF"/>
    <w:rsid w:val="00644555"/>
    <w:rsid w:val="006549B9"/>
    <w:rsid w:val="00655108"/>
    <w:rsid w:val="00656AF9"/>
    <w:rsid w:val="0066477D"/>
    <w:rsid w:val="00665887"/>
    <w:rsid w:val="00681286"/>
    <w:rsid w:val="006821A4"/>
    <w:rsid w:val="00684669"/>
    <w:rsid w:val="00685553"/>
    <w:rsid w:val="00685E41"/>
    <w:rsid w:val="006910B5"/>
    <w:rsid w:val="00693F20"/>
    <w:rsid w:val="00696EE6"/>
    <w:rsid w:val="006A1D29"/>
    <w:rsid w:val="006A1E25"/>
    <w:rsid w:val="006A6B4A"/>
    <w:rsid w:val="006B1FDF"/>
    <w:rsid w:val="006C116B"/>
    <w:rsid w:val="006C2166"/>
    <w:rsid w:val="006C3ADF"/>
    <w:rsid w:val="006C65AE"/>
    <w:rsid w:val="006D2364"/>
    <w:rsid w:val="006D2D40"/>
    <w:rsid w:val="006D3FDB"/>
    <w:rsid w:val="006D46C8"/>
    <w:rsid w:val="006D4D17"/>
    <w:rsid w:val="006D6794"/>
    <w:rsid w:val="006E271D"/>
    <w:rsid w:val="006E3BD8"/>
    <w:rsid w:val="006F15DB"/>
    <w:rsid w:val="006F4103"/>
    <w:rsid w:val="0070079C"/>
    <w:rsid w:val="007067F3"/>
    <w:rsid w:val="00706E51"/>
    <w:rsid w:val="0071276C"/>
    <w:rsid w:val="00724EE4"/>
    <w:rsid w:val="007323F5"/>
    <w:rsid w:val="0073756F"/>
    <w:rsid w:val="007409AF"/>
    <w:rsid w:val="00743D4F"/>
    <w:rsid w:val="007443F6"/>
    <w:rsid w:val="0074663E"/>
    <w:rsid w:val="00754A6A"/>
    <w:rsid w:val="0077280C"/>
    <w:rsid w:val="00775286"/>
    <w:rsid w:val="0077546D"/>
    <w:rsid w:val="0077565A"/>
    <w:rsid w:val="00782BA4"/>
    <w:rsid w:val="00785D3D"/>
    <w:rsid w:val="00787CE5"/>
    <w:rsid w:val="00790111"/>
    <w:rsid w:val="00792DAF"/>
    <w:rsid w:val="00796232"/>
    <w:rsid w:val="007A0BBF"/>
    <w:rsid w:val="007A6B7E"/>
    <w:rsid w:val="007B076C"/>
    <w:rsid w:val="007B381B"/>
    <w:rsid w:val="007B38D9"/>
    <w:rsid w:val="007B4E89"/>
    <w:rsid w:val="007B50C5"/>
    <w:rsid w:val="007B5298"/>
    <w:rsid w:val="007B6D11"/>
    <w:rsid w:val="007C6DD0"/>
    <w:rsid w:val="007C7A8B"/>
    <w:rsid w:val="007D42EB"/>
    <w:rsid w:val="007D55E2"/>
    <w:rsid w:val="007D7AE0"/>
    <w:rsid w:val="007E1129"/>
    <w:rsid w:val="007E1FFA"/>
    <w:rsid w:val="007E64AD"/>
    <w:rsid w:val="007E6D11"/>
    <w:rsid w:val="007F33E4"/>
    <w:rsid w:val="007F4970"/>
    <w:rsid w:val="007F6858"/>
    <w:rsid w:val="007F7343"/>
    <w:rsid w:val="00801F55"/>
    <w:rsid w:val="00803932"/>
    <w:rsid w:val="00805B0B"/>
    <w:rsid w:val="00807213"/>
    <w:rsid w:val="00817BCF"/>
    <w:rsid w:val="00821B30"/>
    <w:rsid w:val="00821C34"/>
    <w:rsid w:val="00843288"/>
    <w:rsid w:val="0084548B"/>
    <w:rsid w:val="00845776"/>
    <w:rsid w:val="008507F7"/>
    <w:rsid w:val="008541BA"/>
    <w:rsid w:val="00854899"/>
    <w:rsid w:val="00857C7B"/>
    <w:rsid w:val="0086223B"/>
    <w:rsid w:val="00864F39"/>
    <w:rsid w:val="00865595"/>
    <w:rsid w:val="0086595A"/>
    <w:rsid w:val="00865B87"/>
    <w:rsid w:val="00866FB7"/>
    <w:rsid w:val="00873AEA"/>
    <w:rsid w:val="00884FE9"/>
    <w:rsid w:val="0089019E"/>
    <w:rsid w:val="00894332"/>
    <w:rsid w:val="00896E51"/>
    <w:rsid w:val="008A465F"/>
    <w:rsid w:val="008A5907"/>
    <w:rsid w:val="008B7154"/>
    <w:rsid w:val="008C13F1"/>
    <w:rsid w:val="008C2130"/>
    <w:rsid w:val="008C4112"/>
    <w:rsid w:val="008C4172"/>
    <w:rsid w:val="008E1498"/>
    <w:rsid w:val="008E35AD"/>
    <w:rsid w:val="008E3BD7"/>
    <w:rsid w:val="008E5C9C"/>
    <w:rsid w:val="008E721A"/>
    <w:rsid w:val="008F4E49"/>
    <w:rsid w:val="008F5476"/>
    <w:rsid w:val="00907BB3"/>
    <w:rsid w:val="00912967"/>
    <w:rsid w:val="00914271"/>
    <w:rsid w:val="00917CF0"/>
    <w:rsid w:val="009211AA"/>
    <w:rsid w:val="00924331"/>
    <w:rsid w:val="00924A38"/>
    <w:rsid w:val="00925FA7"/>
    <w:rsid w:val="00932E4B"/>
    <w:rsid w:val="00933E6B"/>
    <w:rsid w:val="00934237"/>
    <w:rsid w:val="009444AD"/>
    <w:rsid w:val="00946A56"/>
    <w:rsid w:val="00953999"/>
    <w:rsid w:val="00954308"/>
    <w:rsid w:val="00956725"/>
    <w:rsid w:val="00961AB3"/>
    <w:rsid w:val="00962D4A"/>
    <w:rsid w:val="00970ACF"/>
    <w:rsid w:val="009721A5"/>
    <w:rsid w:val="009757DB"/>
    <w:rsid w:val="00977CCA"/>
    <w:rsid w:val="00981F18"/>
    <w:rsid w:val="00985B22"/>
    <w:rsid w:val="009942AA"/>
    <w:rsid w:val="009A0B94"/>
    <w:rsid w:val="009A56F7"/>
    <w:rsid w:val="009E4C8F"/>
    <w:rsid w:val="009F0291"/>
    <w:rsid w:val="009F346C"/>
    <w:rsid w:val="009F35C2"/>
    <w:rsid w:val="009F3E75"/>
    <w:rsid w:val="009F4C23"/>
    <w:rsid w:val="009F7F9D"/>
    <w:rsid w:val="00A1066E"/>
    <w:rsid w:val="00A10D64"/>
    <w:rsid w:val="00A214E3"/>
    <w:rsid w:val="00A274D2"/>
    <w:rsid w:val="00A27D17"/>
    <w:rsid w:val="00A3454B"/>
    <w:rsid w:val="00A373A9"/>
    <w:rsid w:val="00A37EC7"/>
    <w:rsid w:val="00A41692"/>
    <w:rsid w:val="00A42D87"/>
    <w:rsid w:val="00A464F1"/>
    <w:rsid w:val="00A507BE"/>
    <w:rsid w:val="00A52D58"/>
    <w:rsid w:val="00A538A5"/>
    <w:rsid w:val="00A5613F"/>
    <w:rsid w:val="00A63FD7"/>
    <w:rsid w:val="00A6427F"/>
    <w:rsid w:val="00A64633"/>
    <w:rsid w:val="00A65916"/>
    <w:rsid w:val="00A66611"/>
    <w:rsid w:val="00A66C6B"/>
    <w:rsid w:val="00A835A5"/>
    <w:rsid w:val="00A84A9C"/>
    <w:rsid w:val="00A86A71"/>
    <w:rsid w:val="00A879CC"/>
    <w:rsid w:val="00A92E7C"/>
    <w:rsid w:val="00AA17AB"/>
    <w:rsid w:val="00AA26A6"/>
    <w:rsid w:val="00AC033B"/>
    <w:rsid w:val="00AC356B"/>
    <w:rsid w:val="00AC7206"/>
    <w:rsid w:val="00AC7639"/>
    <w:rsid w:val="00AD61D3"/>
    <w:rsid w:val="00AE32AA"/>
    <w:rsid w:val="00AE3728"/>
    <w:rsid w:val="00AE5697"/>
    <w:rsid w:val="00AE7315"/>
    <w:rsid w:val="00AF1A85"/>
    <w:rsid w:val="00AF2D96"/>
    <w:rsid w:val="00AF78A5"/>
    <w:rsid w:val="00AF7F81"/>
    <w:rsid w:val="00B00E53"/>
    <w:rsid w:val="00B07FA6"/>
    <w:rsid w:val="00B13D97"/>
    <w:rsid w:val="00B31F75"/>
    <w:rsid w:val="00B31FF1"/>
    <w:rsid w:val="00B36CA5"/>
    <w:rsid w:val="00B3770E"/>
    <w:rsid w:val="00B450F4"/>
    <w:rsid w:val="00B51001"/>
    <w:rsid w:val="00B531A5"/>
    <w:rsid w:val="00B537CF"/>
    <w:rsid w:val="00B60B90"/>
    <w:rsid w:val="00B60D75"/>
    <w:rsid w:val="00B6415B"/>
    <w:rsid w:val="00B64671"/>
    <w:rsid w:val="00B65C3D"/>
    <w:rsid w:val="00B67719"/>
    <w:rsid w:val="00B71297"/>
    <w:rsid w:val="00B80FE2"/>
    <w:rsid w:val="00B94A0F"/>
    <w:rsid w:val="00B94CDC"/>
    <w:rsid w:val="00B952A2"/>
    <w:rsid w:val="00B97B7D"/>
    <w:rsid w:val="00BA016D"/>
    <w:rsid w:val="00BA16D3"/>
    <w:rsid w:val="00BA2510"/>
    <w:rsid w:val="00BA5A9B"/>
    <w:rsid w:val="00BB32C2"/>
    <w:rsid w:val="00BB6F13"/>
    <w:rsid w:val="00BC2CDA"/>
    <w:rsid w:val="00BD02B8"/>
    <w:rsid w:val="00BD2D85"/>
    <w:rsid w:val="00BD73E3"/>
    <w:rsid w:val="00BE5504"/>
    <w:rsid w:val="00BE5FDC"/>
    <w:rsid w:val="00C01FC4"/>
    <w:rsid w:val="00C07190"/>
    <w:rsid w:val="00C07523"/>
    <w:rsid w:val="00C16462"/>
    <w:rsid w:val="00C16886"/>
    <w:rsid w:val="00C1742F"/>
    <w:rsid w:val="00C175FC"/>
    <w:rsid w:val="00C2226F"/>
    <w:rsid w:val="00C31289"/>
    <w:rsid w:val="00C44283"/>
    <w:rsid w:val="00C46628"/>
    <w:rsid w:val="00C55298"/>
    <w:rsid w:val="00C56366"/>
    <w:rsid w:val="00C57617"/>
    <w:rsid w:val="00C61275"/>
    <w:rsid w:val="00C67BCE"/>
    <w:rsid w:val="00C7665C"/>
    <w:rsid w:val="00C80FEF"/>
    <w:rsid w:val="00C83D97"/>
    <w:rsid w:val="00C9089C"/>
    <w:rsid w:val="00C9372E"/>
    <w:rsid w:val="00CA2AAD"/>
    <w:rsid w:val="00CC4C90"/>
    <w:rsid w:val="00CC6E0D"/>
    <w:rsid w:val="00CD2253"/>
    <w:rsid w:val="00CD2FA1"/>
    <w:rsid w:val="00CD53A4"/>
    <w:rsid w:val="00CE1C63"/>
    <w:rsid w:val="00CE24BD"/>
    <w:rsid w:val="00CE3CD0"/>
    <w:rsid w:val="00CE6193"/>
    <w:rsid w:val="00CE771C"/>
    <w:rsid w:val="00CF66B4"/>
    <w:rsid w:val="00CF79B9"/>
    <w:rsid w:val="00D077E2"/>
    <w:rsid w:val="00D10145"/>
    <w:rsid w:val="00D10670"/>
    <w:rsid w:val="00D12444"/>
    <w:rsid w:val="00D17A50"/>
    <w:rsid w:val="00D221DB"/>
    <w:rsid w:val="00D233D2"/>
    <w:rsid w:val="00D2578E"/>
    <w:rsid w:val="00D42522"/>
    <w:rsid w:val="00D45668"/>
    <w:rsid w:val="00D4652F"/>
    <w:rsid w:val="00D52098"/>
    <w:rsid w:val="00D576EE"/>
    <w:rsid w:val="00D62A96"/>
    <w:rsid w:val="00D62E4A"/>
    <w:rsid w:val="00D668B1"/>
    <w:rsid w:val="00D71611"/>
    <w:rsid w:val="00D75A0C"/>
    <w:rsid w:val="00D760EE"/>
    <w:rsid w:val="00D768A4"/>
    <w:rsid w:val="00D8567E"/>
    <w:rsid w:val="00DA2914"/>
    <w:rsid w:val="00DA441F"/>
    <w:rsid w:val="00DB07FC"/>
    <w:rsid w:val="00DB48E7"/>
    <w:rsid w:val="00DC024A"/>
    <w:rsid w:val="00DC316B"/>
    <w:rsid w:val="00DF27A3"/>
    <w:rsid w:val="00E04E3B"/>
    <w:rsid w:val="00E1146F"/>
    <w:rsid w:val="00E15AA2"/>
    <w:rsid w:val="00E16C7F"/>
    <w:rsid w:val="00E20C8F"/>
    <w:rsid w:val="00E244AC"/>
    <w:rsid w:val="00E25179"/>
    <w:rsid w:val="00E318C3"/>
    <w:rsid w:val="00E3605C"/>
    <w:rsid w:val="00E37DC3"/>
    <w:rsid w:val="00E414B9"/>
    <w:rsid w:val="00E4402A"/>
    <w:rsid w:val="00E45630"/>
    <w:rsid w:val="00E52B7B"/>
    <w:rsid w:val="00E52F38"/>
    <w:rsid w:val="00E56433"/>
    <w:rsid w:val="00E564A8"/>
    <w:rsid w:val="00E64518"/>
    <w:rsid w:val="00E75A1F"/>
    <w:rsid w:val="00E76CB0"/>
    <w:rsid w:val="00E77720"/>
    <w:rsid w:val="00E82CC7"/>
    <w:rsid w:val="00E842FA"/>
    <w:rsid w:val="00E8654A"/>
    <w:rsid w:val="00E93E1A"/>
    <w:rsid w:val="00E94C6B"/>
    <w:rsid w:val="00EA2123"/>
    <w:rsid w:val="00EA3F4D"/>
    <w:rsid w:val="00EB26A5"/>
    <w:rsid w:val="00EB27B3"/>
    <w:rsid w:val="00EB30EF"/>
    <w:rsid w:val="00EC4DF8"/>
    <w:rsid w:val="00EC58E4"/>
    <w:rsid w:val="00ED19E8"/>
    <w:rsid w:val="00ED383D"/>
    <w:rsid w:val="00ED4566"/>
    <w:rsid w:val="00ED7A0B"/>
    <w:rsid w:val="00EF2D3C"/>
    <w:rsid w:val="00EF3B45"/>
    <w:rsid w:val="00F05D1C"/>
    <w:rsid w:val="00F07727"/>
    <w:rsid w:val="00F10D39"/>
    <w:rsid w:val="00F12F93"/>
    <w:rsid w:val="00F22991"/>
    <w:rsid w:val="00F31467"/>
    <w:rsid w:val="00F32904"/>
    <w:rsid w:val="00F405CE"/>
    <w:rsid w:val="00F4211E"/>
    <w:rsid w:val="00F5405C"/>
    <w:rsid w:val="00F55E47"/>
    <w:rsid w:val="00F64BCA"/>
    <w:rsid w:val="00F6659B"/>
    <w:rsid w:val="00F710D8"/>
    <w:rsid w:val="00F738D7"/>
    <w:rsid w:val="00F7717A"/>
    <w:rsid w:val="00FA11EB"/>
    <w:rsid w:val="00FB4D07"/>
    <w:rsid w:val="00FB586D"/>
    <w:rsid w:val="00FC6ED6"/>
    <w:rsid w:val="00FC7A50"/>
    <w:rsid w:val="00FE2A9B"/>
    <w:rsid w:val="00FE3166"/>
    <w:rsid w:val="00FE3435"/>
    <w:rsid w:val="00FF18C4"/>
    <w:rsid w:val="00FF1D81"/>
    <w:rsid w:val="00FF27BD"/>
    <w:rsid w:val="00FF57C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265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2653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474866"/>
    <w:pPr>
      <w:spacing w:after="120" w:line="480" w:lineRule="auto"/>
      <w:jc w:val="both"/>
    </w:pPr>
    <w:rPr>
      <w:lang w:val="es-ES"/>
    </w:rPr>
  </w:style>
  <w:style w:type="character" w:customStyle="1" w:styleId="BodyText2Char">
    <w:name w:val="Body Text 2 Char"/>
    <w:basedOn w:val="DefaultParagraphFont"/>
    <w:link w:val="BodyText2"/>
    <w:rsid w:val="00474866"/>
    <w:rPr>
      <w:lang w:val="es-ES"/>
    </w:rPr>
  </w:style>
  <w:style w:type="character" w:customStyle="1" w:styleId="Heading3Char">
    <w:name w:val="Heading 3 Char"/>
    <w:basedOn w:val="DefaultParagraphFont"/>
    <w:link w:val="Heading3"/>
    <w:uiPriority w:val="9"/>
    <w:semiHidden/>
    <w:rsid w:val="005265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26535"/>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A879CC"/>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A879CC"/>
    <w:rPr>
      <w:sz w:val="20"/>
      <w:szCs w:val="20"/>
      <w:lang w:val="es-ES"/>
    </w:rPr>
  </w:style>
  <w:style w:type="character" w:styleId="FootnoteReference">
    <w:name w:val="footnote reference"/>
    <w:basedOn w:val="DefaultParagraphFont"/>
    <w:uiPriority w:val="99"/>
    <w:semiHidden/>
    <w:unhideWhenUsed/>
    <w:rsid w:val="00A879CC"/>
    <w:rPr>
      <w:vertAlign w:val="superscript"/>
    </w:rPr>
  </w:style>
  <w:style w:type="paragraph" w:styleId="NormalWeb">
    <w:name w:val="Normal (Web)"/>
    <w:basedOn w:val="Normal"/>
    <w:uiPriority w:val="99"/>
    <w:semiHidden/>
    <w:unhideWhenUsed/>
    <w:rsid w:val="00981F18"/>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981F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505754">
      <w:bodyDiv w:val="1"/>
      <w:marLeft w:val="0"/>
      <w:marRight w:val="0"/>
      <w:marTop w:val="0"/>
      <w:marBottom w:val="0"/>
      <w:divBdr>
        <w:top w:val="none" w:sz="0" w:space="0" w:color="auto"/>
        <w:left w:val="none" w:sz="0" w:space="0" w:color="auto"/>
        <w:bottom w:val="none" w:sz="0" w:space="0" w:color="auto"/>
        <w:right w:val="none" w:sz="0" w:space="0" w:color="auto"/>
      </w:divBdr>
    </w:div>
    <w:div w:id="317347616">
      <w:bodyDiv w:val="1"/>
      <w:marLeft w:val="0"/>
      <w:marRight w:val="0"/>
      <w:marTop w:val="0"/>
      <w:marBottom w:val="0"/>
      <w:divBdr>
        <w:top w:val="none" w:sz="0" w:space="0" w:color="auto"/>
        <w:left w:val="none" w:sz="0" w:space="0" w:color="auto"/>
        <w:bottom w:val="none" w:sz="0" w:space="0" w:color="auto"/>
        <w:right w:val="none" w:sz="0" w:space="0" w:color="auto"/>
      </w:divBdr>
    </w:div>
    <w:div w:id="363095483">
      <w:bodyDiv w:val="1"/>
      <w:marLeft w:val="0"/>
      <w:marRight w:val="0"/>
      <w:marTop w:val="0"/>
      <w:marBottom w:val="0"/>
      <w:divBdr>
        <w:top w:val="none" w:sz="0" w:space="0" w:color="auto"/>
        <w:left w:val="none" w:sz="0" w:space="0" w:color="auto"/>
        <w:bottom w:val="none" w:sz="0" w:space="0" w:color="auto"/>
        <w:right w:val="none" w:sz="0" w:space="0" w:color="auto"/>
      </w:divBdr>
    </w:div>
    <w:div w:id="431439157">
      <w:bodyDiv w:val="1"/>
      <w:marLeft w:val="0"/>
      <w:marRight w:val="0"/>
      <w:marTop w:val="0"/>
      <w:marBottom w:val="0"/>
      <w:divBdr>
        <w:top w:val="none" w:sz="0" w:space="0" w:color="auto"/>
        <w:left w:val="none" w:sz="0" w:space="0" w:color="auto"/>
        <w:bottom w:val="none" w:sz="0" w:space="0" w:color="auto"/>
        <w:right w:val="none" w:sz="0" w:space="0" w:color="auto"/>
      </w:divBdr>
    </w:div>
    <w:div w:id="603659352">
      <w:bodyDiv w:val="1"/>
      <w:marLeft w:val="0"/>
      <w:marRight w:val="0"/>
      <w:marTop w:val="0"/>
      <w:marBottom w:val="0"/>
      <w:divBdr>
        <w:top w:val="none" w:sz="0" w:space="0" w:color="auto"/>
        <w:left w:val="none" w:sz="0" w:space="0" w:color="auto"/>
        <w:bottom w:val="none" w:sz="0" w:space="0" w:color="auto"/>
        <w:right w:val="none" w:sz="0" w:space="0" w:color="auto"/>
      </w:divBdr>
    </w:div>
    <w:div w:id="777682900">
      <w:bodyDiv w:val="1"/>
      <w:marLeft w:val="0"/>
      <w:marRight w:val="0"/>
      <w:marTop w:val="0"/>
      <w:marBottom w:val="0"/>
      <w:divBdr>
        <w:top w:val="none" w:sz="0" w:space="0" w:color="auto"/>
        <w:left w:val="none" w:sz="0" w:space="0" w:color="auto"/>
        <w:bottom w:val="none" w:sz="0" w:space="0" w:color="auto"/>
        <w:right w:val="none" w:sz="0" w:space="0" w:color="auto"/>
      </w:divBdr>
    </w:div>
    <w:div w:id="892621624">
      <w:bodyDiv w:val="1"/>
      <w:marLeft w:val="0"/>
      <w:marRight w:val="0"/>
      <w:marTop w:val="0"/>
      <w:marBottom w:val="0"/>
      <w:divBdr>
        <w:top w:val="none" w:sz="0" w:space="0" w:color="auto"/>
        <w:left w:val="none" w:sz="0" w:space="0" w:color="auto"/>
        <w:bottom w:val="none" w:sz="0" w:space="0" w:color="auto"/>
        <w:right w:val="none" w:sz="0" w:space="0" w:color="auto"/>
      </w:divBdr>
    </w:div>
    <w:div w:id="1055929253">
      <w:bodyDiv w:val="1"/>
      <w:marLeft w:val="0"/>
      <w:marRight w:val="0"/>
      <w:marTop w:val="0"/>
      <w:marBottom w:val="0"/>
      <w:divBdr>
        <w:top w:val="none" w:sz="0" w:space="0" w:color="auto"/>
        <w:left w:val="none" w:sz="0" w:space="0" w:color="auto"/>
        <w:bottom w:val="none" w:sz="0" w:space="0" w:color="auto"/>
        <w:right w:val="none" w:sz="0" w:space="0" w:color="auto"/>
      </w:divBdr>
    </w:div>
    <w:div w:id="1062171025">
      <w:bodyDiv w:val="1"/>
      <w:marLeft w:val="0"/>
      <w:marRight w:val="0"/>
      <w:marTop w:val="0"/>
      <w:marBottom w:val="0"/>
      <w:divBdr>
        <w:top w:val="none" w:sz="0" w:space="0" w:color="auto"/>
        <w:left w:val="none" w:sz="0" w:space="0" w:color="auto"/>
        <w:bottom w:val="none" w:sz="0" w:space="0" w:color="auto"/>
        <w:right w:val="none" w:sz="0" w:space="0" w:color="auto"/>
      </w:divBdr>
      <w:divsChild>
        <w:div w:id="948706471">
          <w:marLeft w:val="0"/>
          <w:marRight w:val="0"/>
          <w:marTop w:val="0"/>
          <w:marBottom w:val="0"/>
          <w:divBdr>
            <w:top w:val="none" w:sz="0" w:space="0" w:color="auto"/>
            <w:left w:val="none" w:sz="0" w:space="0" w:color="auto"/>
            <w:bottom w:val="none" w:sz="0" w:space="0" w:color="auto"/>
            <w:right w:val="none" w:sz="0" w:space="0" w:color="auto"/>
          </w:divBdr>
          <w:divsChild>
            <w:div w:id="1017540464">
              <w:marLeft w:val="0"/>
              <w:marRight w:val="0"/>
              <w:marTop w:val="0"/>
              <w:marBottom w:val="0"/>
              <w:divBdr>
                <w:top w:val="none" w:sz="0" w:space="0" w:color="auto"/>
                <w:left w:val="none" w:sz="0" w:space="0" w:color="auto"/>
                <w:bottom w:val="none" w:sz="0" w:space="0" w:color="auto"/>
                <w:right w:val="none" w:sz="0" w:space="0" w:color="auto"/>
              </w:divBdr>
              <w:divsChild>
                <w:div w:id="1887641217">
                  <w:marLeft w:val="0"/>
                  <w:marRight w:val="0"/>
                  <w:marTop w:val="0"/>
                  <w:marBottom w:val="0"/>
                  <w:divBdr>
                    <w:top w:val="none" w:sz="0" w:space="0" w:color="auto"/>
                    <w:left w:val="none" w:sz="0" w:space="0" w:color="auto"/>
                    <w:bottom w:val="none" w:sz="0" w:space="0" w:color="auto"/>
                    <w:right w:val="none" w:sz="0" w:space="0" w:color="auto"/>
                  </w:divBdr>
                  <w:divsChild>
                    <w:div w:id="1792551498">
                      <w:marLeft w:val="0"/>
                      <w:marRight w:val="0"/>
                      <w:marTop w:val="0"/>
                      <w:marBottom w:val="0"/>
                      <w:divBdr>
                        <w:top w:val="none" w:sz="0" w:space="0" w:color="auto"/>
                        <w:left w:val="none" w:sz="0" w:space="0" w:color="auto"/>
                        <w:bottom w:val="none" w:sz="0" w:space="0" w:color="auto"/>
                        <w:right w:val="none" w:sz="0" w:space="0" w:color="auto"/>
                      </w:divBdr>
                      <w:divsChild>
                        <w:div w:id="1678728435">
                          <w:marLeft w:val="0"/>
                          <w:marRight w:val="0"/>
                          <w:marTop w:val="0"/>
                          <w:marBottom w:val="0"/>
                          <w:divBdr>
                            <w:top w:val="none" w:sz="0" w:space="0" w:color="auto"/>
                            <w:left w:val="none" w:sz="0" w:space="0" w:color="auto"/>
                            <w:bottom w:val="none" w:sz="0" w:space="0" w:color="auto"/>
                            <w:right w:val="none" w:sz="0" w:space="0" w:color="auto"/>
                          </w:divBdr>
                          <w:divsChild>
                            <w:div w:id="883247962">
                              <w:marLeft w:val="0"/>
                              <w:marRight w:val="0"/>
                              <w:marTop w:val="0"/>
                              <w:marBottom w:val="0"/>
                              <w:divBdr>
                                <w:top w:val="none" w:sz="0" w:space="0" w:color="auto"/>
                                <w:left w:val="none" w:sz="0" w:space="0" w:color="auto"/>
                                <w:bottom w:val="none" w:sz="0" w:space="0" w:color="auto"/>
                                <w:right w:val="none" w:sz="0" w:space="0" w:color="auto"/>
                              </w:divBdr>
                              <w:divsChild>
                                <w:div w:id="1398363570">
                                  <w:marLeft w:val="0"/>
                                  <w:marRight w:val="0"/>
                                  <w:marTop w:val="0"/>
                                  <w:marBottom w:val="0"/>
                                  <w:divBdr>
                                    <w:top w:val="none" w:sz="0" w:space="0" w:color="auto"/>
                                    <w:left w:val="none" w:sz="0" w:space="0" w:color="auto"/>
                                    <w:bottom w:val="none" w:sz="0" w:space="0" w:color="auto"/>
                                    <w:right w:val="none" w:sz="0" w:space="0" w:color="auto"/>
                                  </w:divBdr>
                                  <w:divsChild>
                                    <w:div w:id="1840732819">
                                      <w:marLeft w:val="0"/>
                                      <w:marRight w:val="0"/>
                                      <w:marTop w:val="0"/>
                                      <w:marBottom w:val="0"/>
                                      <w:divBdr>
                                        <w:top w:val="none" w:sz="0" w:space="0" w:color="auto"/>
                                        <w:left w:val="none" w:sz="0" w:space="0" w:color="auto"/>
                                        <w:bottom w:val="none" w:sz="0" w:space="0" w:color="auto"/>
                                        <w:right w:val="none" w:sz="0" w:space="0" w:color="auto"/>
                                      </w:divBdr>
                                      <w:divsChild>
                                        <w:div w:id="1036540470">
                                          <w:marLeft w:val="0"/>
                                          <w:marRight w:val="0"/>
                                          <w:marTop w:val="0"/>
                                          <w:marBottom w:val="0"/>
                                          <w:divBdr>
                                            <w:top w:val="none" w:sz="0" w:space="0" w:color="auto"/>
                                            <w:left w:val="none" w:sz="0" w:space="0" w:color="auto"/>
                                            <w:bottom w:val="none" w:sz="0" w:space="0" w:color="auto"/>
                                            <w:right w:val="none" w:sz="0" w:space="0" w:color="auto"/>
                                          </w:divBdr>
                                          <w:divsChild>
                                            <w:div w:id="439491644">
                                              <w:marLeft w:val="0"/>
                                              <w:marRight w:val="0"/>
                                              <w:marTop w:val="0"/>
                                              <w:marBottom w:val="0"/>
                                              <w:divBdr>
                                                <w:top w:val="none" w:sz="0" w:space="0" w:color="auto"/>
                                                <w:left w:val="none" w:sz="0" w:space="0" w:color="auto"/>
                                                <w:bottom w:val="none" w:sz="0" w:space="0" w:color="auto"/>
                                                <w:right w:val="none" w:sz="0" w:space="0" w:color="auto"/>
                                              </w:divBdr>
                                              <w:divsChild>
                                                <w:div w:id="1856729260">
                                                  <w:marLeft w:val="0"/>
                                                  <w:marRight w:val="0"/>
                                                  <w:marTop w:val="0"/>
                                                  <w:marBottom w:val="0"/>
                                                  <w:divBdr>
                                                    <w:top w:val="none" w:sz="0" w:space="0" w:color="auto"/>
                                                    <w:left w:val="none" w:sz="0" w:space="0" w:color="auto"/>
                                                    <w:bottom w:val="none" w:sz="0" w:space="0" w:color="auto"/>
                                                    <w:right w:val="none" w:sz="0" w:space="0" w:color="auto"/>
                                                  </w:divBdr>
                                                  <w:divsChild>
                                                    <w:div w:id="235827024">
                                                      <w:marLeft w:val="0"/>
                                                      <w:marRight w:val="0"/>
                                                      <w:marTop w:val="0"/>
                                                      <w:marBottom w:val="0"/>
                                                      <w:divBdr>
                                                        <w:top w:val="none" w:sz="0" w:space="0" w:color="auto"/>
                                                        <w:left w:val="none" w:sz="0" w:space="0" w:color="auto"/>
                                                        <w:bottom w:val="none" w:sz="0" w:space="0" w:color="auto"/>
                                                        <w:right w:val="none" w:sz="0" w:space="0" w:color="auto"/>
                                                      </w:divBdr>
                                                      <w:divsChild>
                                                        <w:div w:id="30647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702113">
      <w:bodyDiv w:val="1"/>
      <w:marLeft w:val="0"/>
      <w:marRight w:val="0"/>
      <w:marTop w:val="0"/>
      <w:marBottom w:val="0"/>
      <w:divBdr>
        <w:top w:val="none" w:sz="0" w:space="0" w:color="auto"/>
        <w:left w:val="none" w:sz="0" w:space="0" w:color="auto"/>
        <w:bottom w:val="none" w:sz="0" w:space="0" w:color="auto"/>
        <w:right w:val="none" w:sz="0" w:space="0" w:color="auto"/>
      </w:divBdr>
    </w:div>
    <w:div w:id="1201892754">
      <w:bodyDiv w:val="1"/>
      <w:marLeft w:val="0"/>
      <w:marRight w:val="0"/>
      <w:marTop w:val="0"/>
      <w:marBottom w:val="0"/>
      <w:divBdr>
        <w:top w:val="none" w:sz="0" w:space="0" w:color="auto"/>
        <w:left w:val="none" w:sz="0" w:space="0" w:color="auto"/>
        <w:bottom w:val="none" w:sz="0" w:space="0" w:color="auto"/>
        <w:right w:val="none" w:sz="0" w:space="0" w:color="auto"/>
      </w:divBdr>
    </w:div>
    <w:div w:id="1240407150">
      <w:bodyDiv w:val="1"/>
      <w:marLeft w:val="0"/>
      <w:marRight w:val="0"/>
      <w:marTop w:val="0"/>
      <w:marBottom w:val="0"/>
      <w:divBdr>
        <w:top w:val="none" w:sz="0" w:space="0" w:color="auto"/>
        <w:left w:val="none" w:sz="0" w:space="0" w:color="auto"/>
        <w:bottom w:val="none" w:sz="0" w:space="0" w:color="auto"/>
        <w:right w:val="none" w:sz="0" w:space="0" w:color="auto"/>
      </w:divBdr>
      <w:divsChild>
        <w:div w:id="2024555269">
          <w:marLeft w:val="0"/>
          <w:marRight w:val="0"/>
          <w:marTop w:val="0"/>
          <w:marBottom w:val="0"/>
          <w:divBdr>
            <w:top w:val="none" w:sz="0" w:space="0" w:color="auto"/>
            <w:left w:val="none" w:sz="0" w:space="0" w:color="auto"/>
            <w:bottom w:val="none" w:sz="0" w:space="0" w:color="auto"/>
            <w:right w:val="none" w:sz="0" w:space="0" w:color="auto"/>
          </w:divBdr>
        </w:div>
        <w:div w:id="481964846">
          <w:marLeft w:val="0"/>
          <w:marRight w:val="0"/>
          <w:marTop w:val="0"/>
          <w:marBottom w:val="0"/>
          <w:divBdr>
            <w:top w:val="none" w:sz="0" w:space="0" w:color="auto"/>
            <w:left w:val="none" w:sz="0" w:space="0" w:color="auto"/>
            <w:bottom w:val="none" w:sz="0" w:space="0" w:color="auto"/>
            <w:right w:val="none" w:sz="0" w:space="0" w:color="auto"/>
          </w:divBdr>
        </w:div>
        <w:div w:id="97676023">
          <w:marLeft w:val="0"/>
          <w:marRight w:val="0"/>
          <w:marTop w:val="0"/>
          <w:marBottom w:val="0"/>
          <w:divBdr>
            <w:top w:val="none" w:sz="0" w:space="0" w:color="auto"/>
            <w:left w:val="none" w:sz="0" w:space="0" w:color="auto"/>
            <w:bottom w:val="none" w:sz="0" w:space="0" w:color="auto"/>
            <w:right w:val="none" w:sz="0" w:space="0" w:color="auto"/>
          </w:divBdr>
        </w:div>
        <w:div w:id="1404445692">
          <w:marLeft w:val="0"/>
          <w:marRight w:val="0"/>
          <w:marTop w:val="0"/>
          <w:marBottom w:val="0"/>
          <w:divBdr>
            <w:top w:val="none" w:sz="0" w:space="0" w:color="auto"/>
            <w:left w:val="none" w:sz="0" w:space="0" w:color="auto"/>
            <w:bottom w:val="none" w:sz="0" w:space="0" w:color="auto"/>
            <w:right w:val="none" w:sz="0" w:space="0" w:color="auto"/>
          </w:divBdr>
        </w:div>
        <w:div w:id="1135180907">
          <w:marLeft w:val="0"/>
          <w:marRight w:val="0"/>
          <w:marTop w:val="0"/>
          <w:marBottom w:val="0"/>
          <w:divBdr>
            <w:top w:val="none" w:sz="0" w:space="0" w:color="auto"/>
            <w:left w:val="none" w:sz="0" w:space="0" w:color="auto"/>
            <w:bottom w:val="none" w:sz="0" w:space="0" w:color="auto"/>
            <w:right w:val="none" w:sz="0" w:space="0" w:color="auto"/>
          </w:divBdr>
        </w:div>
      </w:divsChild>
    </w:div>
    <w:div w:id="1368484071">
      <w:bodyDiv w:val="1"/>
      <w:marLeft w:val="0"/>
      <w:marRight w:val="0"/>
      <w:marTop w:val="0"/>
      <w:marBottom w:val="0"/>
      <w:divBdr>
        <w:top w:val="none" w:sz="0" w:space="0" w:color="auto"/>
        <w:left w:val="none" w:sz="0" w:space="0" w:color="auto"/>
        <w:bottom w:val="none" w:sz="0" w:space="0" w:color="auto"/>
        <w:right w:val="none" w:sz="0" w:space="0" w:color="auto"/>
      </w:divBdr>
    </w:div>
    <w:div w:id="1486162467">
      <w:bodyDiv w:val="1"/>
      <w:marLeft w:val="0"/>
      <w:marRight w:val="0"/>
      <w:marTop w:val="0"/>
      <w:marBottom w:val="0"/>
      <w:divBdr>
        <w:top w:val="none" w:sz="0" w:space="0" w:color="auto"/>
        <w:left w:val="none" w:sz="0" w:space="0" w:color="auto"/>
        <w:bottom w:val="none" w:sz="0" w:space="0" w:color="auto"/>
        <w:right w:val="none" w:sz="0" w:space="0" w:color="auto"/>
      </w:divBdr>
    </w:div>
    <w:div w:id="1542210412">
      <w:bodyDiv w:val="1"/>
      <w:marLeft w:val="0"/>
      <w:marRight w:val="0"/>
      <w:marTop w:val="0"/>
      <w:marBottom w:val="0"/>
      <w:divBdr>
        <w:top w:val="none" w:sz="0" w:space="0" w:color="auto"/>
        <w:left w:val="none" w:sz="0" w:space="0" w:color="auto"/>
        <w:bottom w:val="none" w:sz="0" w:space="0" w:color="auto"/>
        <w:right w:val="none" w:sz="0" w:space="0" w:color="auto"/>
      </w:divBdr>
      <w:divsChild>
        <w:div w:id="1953129174">
          <w:marLeft w:val="0"/>
          <w:marRight w:val="0"/>
          <w:marTop w:val="0"/>
          <w:marBottom w:val="0"/>
          <w:divBdr>
            <w:top w:val="none" w:sz="0" w:space="0" w:color="auto"/>
            <w:left w:val="none" w:sz="0" w:space="0" w:color="auto"/>
            <w:bottom w:val="none" w:sz="0" w:space="0" w:color="auto"/>
            <w:right w:val="none" w:sz="0" w:space="0" w:color="auto"/>
          </w:divBdr>
          <w:divsChild>
            <w:div w:id="337541568">
              <w:marLeft w:val="0"/>
              <w:marRight w:val="0"/>
              <w:marTop w:val="0"/>
              <w:marBottom w:val="0"/>
              <w:divBdr>
                <w:top w:val="none" w:sz="0" w:space="0" w:color="auto"/>
                <w:left w:val="none" w:sz="0" w:space="0" w:color="auto"/>
                <w:bottom w:val="none" w:sz="0" w:space="0" w:color="auto"/>
                <w:right w:val="none" w:sz="0" w:space="0" w:color="auto"/>
              </w:divBdr>
              <w:divsChild>
                <w:div w:id="1300108029">
                  <w:marLeft w:val="0"/>
                  <w:marRight w:val="0"/>
                  <w:marTop w:val="0"/>
                  <w:marBottom w:val="0"/>
                  <w:divBdr>
                    <w:top w:val="none" w:sz="0" w:space="0" w:color="auto"/>
                    <w:left w:val="none" w:sz="0" w:space="0" w:color="auto"/>
                    <w:bottom w:val="none" w:sz="0" w:space="0" w:color="auto"/>
                    <w:right w:val="none" w:sz="0" w:space="0" w:color="auto"/>
                  </w:divBdr>
                  <w:divsChild>
                    <w:div w:id="1974209358">
                      <w:marLeft w:val="0"/>
                      <w:marRight w:val="0"/>
                      <w:marTop w:val="0"/>
                      <w:marBottom w:val="0"/>
                      <w:divBdr>
                        <w:top w:val="none" w:sz="0" w:space="0" w:color="auto"/>
                        <w:left w:val="none" w:sz="0" w:space="0" w:color="auto"/>
                        <w:bottom w:val="none" w:sz="0" w:space="0" w:color="auto"/>
                        <w:right w:val="none" w:sz="0" w:space="0" w:color="auto"/>
                      </w:divBdr>
                      <w:divsChild>
                        <w:div w:id="637954982">
                          <w:marLeft w:val="0"/>
                          <w:marRight w:val="0"/>
                          <w:marTop w:val="0"/>
                          <w:marBottom w:val="0"/>
                          <w:divBdr>
                            <w:top w:val="none" w:sz="0" w:space="0" w:color="auto"/>
                            <w:left w:val="none" w:sz="0" w:space="0" w:color="auto"/>
                            <w:bottom w:val="none" w:sz="0" w:space="0" w:color="auto"/>
                            <w:right w:val="none" w:sz="0" w:space="0" w:color="auto"/>
                          </w:divBdr>
                          <w:divsChild>
                            <w:div w:id="247005558">
                              <w:marLeft w:val="0"/>
                              <w:marRight w:val="0"/>
                              <w:marTop w:val="0"/>
                              <w:marBottom w:val="0"/>
                              <w:divBdr>
                                <w:top w:val="none" w:sz="0" w:space="0" w:color="auto"/>
                                <w:left w:val="none" w:sz="0" w:space="0" w:color="auto"/>
                                <w:bottom w:val="none" w:sz="0" w:space="0" w:color="auto"/>
                                <w:right w:val="none" w:sz="0" w:space="0" w:color="auto"/>
                              </w:divBdr>
                              <w:divsChild>
                                <w:div w:id="707415853">
                                  <w:marLeft w:val="0"/>
                                  <w:marRight w:val="0"/>
                                  <w:marTop w:val="0"/>
                                  <w:marBottom w:val="0"/>
                                  <w:divBdr>
                                    <w:top w:val="none" w:sz="0" w:space="0" w:color="auto"/>
                                    <w:left w:val="none" w:sz="0" w:space="0" w:color="auto"/>
                                    <w:bottom w:val="none" w:sz="0" w:space="0" w:color="auto"/>
                                    <w:right w:val="none" w:sz="0" w:space="0" w:color="auto"/>
                                  </w:divBdr>
                                  <w:divsChild>
                                    <w:div w:id="763455463">
                                      <w:marLeft w:val="0"/>
                                      <w:marRight w:val="0"/>
                                      <w:marTop w:val="0"/>
                                      <w:marBottom w:val="0"/>
                                      <w:divBdr>
                                        <w:top w:val="none" w:sz="0" w:space="0" w:color="auto"/>
                                        <w:left w:val="none" w:sz="0" w:space="0" w:color="auto"/>
                                        <w:bottom w:val="none" w:sz="0" w:space="0" w:color="auto"/>
                                        <w:right w:val="none" w:sz="0" w:space="0" w:color="auto"/>
                                      </w:divBdr>
                                      <w:divsChild>
                                        <w:div w:id="1415202522">
                                          <w:marLeft w:val="0"/>
                                          <w:marRight w:val="0"/>
                                          <w:marTop w:val="0"/>
                                          <w:marBottom w:val="0"/>
                                          <w:divBdr>
                                            <w:top w:val="none" w:sz="0" w:space="0" w:color="auto"/>
                                            <w:left w:val="none" w:sz="0" w:space="0" w:color="auto"/>
                                            <w:bottom w:val="none" w:sz="0" w:space="0" w:color="auto"/>
                                            <w:right w:val="none" w:sz="0" w:space="0" w:color="auto"/>
                                          </w:divBdr>
                                          <w:divsChild>
                                            <w:div w:id="1757358308">
                                              <w:marLeft w:val="0"/>
                                              <w:marRight w:val="0"/>
                                              <w:marTop w:val="0"/>
                                              <w:marBottom w:val="0"/>
                                              <w:divBdr>
                                                <w:top w:val="none" w:sz="0" w:space="0" w:color="auto"/>
                                                <w:left w:val="none" w:sz="0" w:space="0" w:color="auto"/>
                                                <w:bottom w:val="none" w:sz="0" w:space="0" w:color="auto"/>
                                                <w:right w:val="none" w:sz="0" w:space="0" w:color="auto"/>
                                              </w:divBdr>
                                              <w:divsChild>
                                                <w:div w:id="973367936">
                                                  <w:marLeft w:val="0"/>
                                                  <w:marRight w:val="0"/>
                                                  <w:marTop w:val="0"/>
                                                  <w:marBottom w:val="0"/>
                                                  <w:divBdr>
                                                    <w:top w:val="none" w:sz="0" w:space="0" w:color="auto"/>
                                                    <w:left w:val="none" w:sz="0" w:space="0" w:color="auto"/>
                                                    <w:bottom w:val="none" w:sz="0" w:space="0" w:color="auto"/>
                                                    <w:right w:val="none" w:sz="0" w:space="0" w:color="auto"/>
                                                  </w:divBdr>
                                                  <w:divsChild>
                                                    <w:div w:id="1628970238">
                                                      <w:marLeft w:val="0"/>
                                                      <w:marRight w:val="0"/>
                                                      <w:marTop w:val="0"/>
                                                      <w:marBottom w:val="0"/>
                                                      <w:divBdr>
                                                        <w:top w:val="none" w:sz="0" w:space="0" w:color="auto"/>
                                                        <w:left w:val="none" w:sz="0" w:space="0" w:color="auto"/>
                                                        <w:bottom w:val="none" w:sz="0" w:space="0" w:color="auto"/>
                                                        <w:right w:val="none" w:sz="0" w:space="0" w:color="auto"/>
                                                      </w:divBdr>
                                                      <w:divsChild>
                                                        <w:div w:id="26123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 w:id="175138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5E3A-B498-49A4-9D45-0083F325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3472</TotalTime>
  <Pages>6</Pages>
  <Words>2126</Words>
  <Characters>11699</Characters>
  <Application>Microsoft Office Word</Application>
  <DocSecurity>0</DocSecurity>
  <Lines>97</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258</cp:revision>
  <cp:lastPrinted>2021-04-13T13:39:00Z</cp:lastPrinted>
  <dcterms:created xsi:type="dcterms:W3CDTF">2021-06-22T18:04:00Z</dcterms:created>
  <dcterms:modified xsi:type="dcterms:W3CDTF">2025-03-13T18:57:00Z</dcterms:modified>
</cp:coreProperties>
</file>